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98" w:rsidRPr="00711670" w:rsidRDefault="00FB1998" w:rsidP="001B203C">
      <w:pPr>
        <w:tabs>
          <w:tab w:val="clear" w:pos="680"/>
          <w:tab w:val="left" w:pos="709"/>
        </w:tabs>
        <w:spacing w:line="240" w:lineRule="auto"/>
        <w:rPr>
          <w:b/>
          <w:color w:val="000000" w:themeColor="text1"/>
          <w:sz w:val="18"/>
        </w:rPr>
      </w:pPr>
      <w:r w:rsidRPr="00711670">
        <w:rPr>
          <w:b/>
          <w:color w:val="000000" w:themeColor="text1"/>
          <w:sz w:val="18"/>
        </w:rPr>
        <w:t xml:space="preserve">T </w:t>
      </w:r>
      <w:r w:rsidR="00D27882" w:rsidRPr="00711670">
        <w:rPr>
          <w:b/>
          <w:color w:val="000000" w:themeColor="text1"/>
          <w:sz w:val="18"/>
        </w:rPr>
        <w:t>2</w:t>
      </w:r>
      <w:r w:rsidR="001B203C" w:rsidRPr="00711670">
        <w:rPr>
          <w:b/>
          <w:color w:val="000000" w:themeColor="text1"/>
          <w:sz w:val="18"/>
        </w:rPr>
        <w:t>5</w:t>
      </w:r>
      <w:r w:rsidRPr="00711670">
        <w:rPr>
          <w:bCs/>
          <w:color w:val="000000" w:themeColor="text1"/>
          <w:sz w:val="18"/>
        </w:rPr>
        <w:t>–</w:t>
      </w:r>
      <w:r w:rsidR="00D27882" w:rsidRPr="00711670">
        <w:rPr>
          <w:bCs/>
          <w:color w:val="000000" w:themeColor="text1"/>
          <w:sz w:val="18"/>
        </w:rPr>
        <w:t>1</w:t>
      </w:r>
      <w:r w:rsidRPr="00711670">
        <w:rPr>
          <w:bCs/>
          <w:color w:val="000000" w:themeColor="text1"/>
          <w:sz w:val="18"/>
        </w:rPr>
        <w:t>.</w:t>
      </w:r>
      <w:r w:rsidRPr="00711670">
        <w:rPr>
          <w:b/>
          <w:color w:val="000000" w:themeColor="text1"/>
          <w:sz w:val="18"/>
        </w:rPr>
        <w:tab/>
        <w:t>Vybrané ukazovatele za nefinančné korporácie podľa veľkostnej</w:t>
      </w:r>
    </w:p>
    <w:p w:rsidR="00FB1998" w:rsidRPr="00711670" w:rsidRDefault="00FB1998" w:rsidP="006B58D4">
      <w:pPr>
        <w:tabs>
          <w:tab w:val="clear" w:pos="680"/>
          <w:tab w:val="left" w:pos="709"/>
        </w:tabs>
        <w:spacing w:line="240" w:lineRule="auto"/>
        <w:ind w:left="0" w:firstLine="0"/>
        <w:rPr>
          <w:b/>
          <w:color w:val="000000" w:themeColor="text1"/>
          <w:sz w:val="18"/>
        </w:rPr>
      </w:pPr>
      <w:r w:rsidRPr="00711670">
        <w:rPr>
          <w:b/>
          <w:color w:val="000000" w:themeColor="text1"/>
          <w:sz w:val="18"/>
        </w:rPr>
        <w:tab/>
        <w:t>štruktúry</w:t>
      </w:r>
      <w:r w:rsidRPr="00711670">
        <w:rPr>
          <w:color w:val="000000" w:themeColor="text1"/>
        </w:rPr>
        <w:t xml:space="preserve"> </w:t>
      </w:r>
      <w:r w:rsidRPr="00711670">
        <w:rPr>
          <w:b/>
          <w:color w:val="000000" w:themeColor="text1"/>
          <w:sz w:val="18"/>
        </w:rPr>
        <w:t xml:space="preserve">podnikov </w:t>
      </w:r>
    </w:p>
    <w:p w:rsidR="00FB1998" w:rsidRPr="00711670" w:rsidRDefault="00FB1998" w:rsidP="006B58D4">
      <w:pPr>
        <w:tabs>
          <w:tab w:val="clear" w:pos="680"/>
          <w:tab w:val="left" w:pos="709"/>
        </w:tabs>
        <w:spacing w:line="240" w:lineRule="auto"/>
        <w:ind w:left="0" w:firstLine="0"/>
        <w:rPr>
          <w:color w:val="000000" w:themeColor="text1"/>
          <w:sz w:val="18"/>
        </w:rPr>
      </w:pPr>
      <w:r w:rsidRPr="00711670">
        <w:rPr>
          <w:b/>
          <w:color w:val="000000" w:themeColor="text1"/>
          <w:sz w:val="18"/>
        </w:rPr>
        <w:tab/>
      </w:r>
      <w:r w:rsidRPr="00711670">
        <w:rPr>
          <w:color w:val="000000" w:themeColor="text1"/>
          <w:sz w:val="18"/>
        </w:rPr>
        <w:t>Selected indicators of non-financial</w:t>
      </w:r>
      <w:r w:rsidRPr="00711670">
        <w:rPr>
          <w:color w:val="000000" w:themeColor="text1"/>
          <w:sz w:val="18"/>
          <w:lang w:val="en-AU"/>
        </w:rPr>
        <w:t xml:space="preserve"> corporations</w:t>
      </w:r>
      <w:r w:rsidRPr="00711670">
        <w:rPr>
          <w:color w:val="000000" w:themeColor="text1"/>
          <w:sz w:val="18"/>
        </w:rPr>
        <w:t xml:space="preserve"> by size structure</w:t>
      </w:r>
      <w:r w:rsidR="006B58D4" w:rsidRPr="00711670">
        <w:rPr>
          <w:color w:val="000000" w:themeColor="text1"/>
          <w:sz w:val="18"/>
        </w:rPr>
        <w:t xml:space="preserve"> </w:t>
      </w:r>
      <w:r w:rsidRPr="00711670">
        <w:rPr>
          <w:color w:val="000000" w:themeColor="text1"/>
          <w:sz w:val="18"/>
        </w:rPr>
        <w:t>of enterprises</w:t>
      </w:r>
    </w:p>
    <w:p w:rsidR="00FB1998" w:rsidRPr="00711670" w:rsidRDefault="00FB1998" w:rsidP="00CF5EDC">
      <w:pPr>
        <w:tabs>
          <w:tab w:val="left" w:pos="709"/>
        </w:tabs>
        <w:spacing w:line="240" w:lineRule="auto"/>
        <w:rPr>
          <w:color w:val="000000" w:themeColor="text1"/>
          <w:sz w:val="18"/>
          <w:vertAlign w:val="superscript"/>
        </w:rPr>
      </w:pPr>
    </w:p>
    <w:p w:rsidR="00FB1998" w:rsidRPr="00711670" w:rsidRDefault="00FB1998" w:rsidP="0062140D">
      <w:pPr>
        <w:pStyle w:val="pravy-lavy"/>
        <w:rPr>
          <w:color w:val="000000" w:themeColor="text1"/>
        </w:rPr>
      </w:pPr>
      <w:r w:rsidRPr="00711670">
        <w:rPr>
          <w:color w:val="000000" w:themeColor="text1"/>
          <w:lang w:val="de-DE"/>
        </w:rPr>
        <w:t>v mil. E</w:t>
      </w:r>
      <w:r w:rsidR="00BE279D" w:rsidRPr="00711670">
        <w:rPr>
          <w:color w:val="000000" w:themeColor="text1"/>
          <w:lang w:val="de-DE"/>
        </w:rPr>
        <w:t>UR</w:t>
      </w:r>
      <w:r w:rsidR="00313DF6" w:rsidRPr="00711670">
        <w:rPr>
          <w:color w:val="000000" w:themeColor="text1"/>
          <w:lang w:val="de-DE"/>
        </w:rPr>
        <w:tab/>
      </w:r>
      <w:r w:rsidRPr="00711670">
        <w:rPr>
          <w:color w:val="000000" w:themeColor="text1"/>
        </w:rPr>
        <w:t>EUR</w:t>
      </w:r>
      <w:r w:rsidR="00313DF6" w:rsidRPr="00711670">
        <w:rPr>
          <w:color w:val="000000" w:themeColor="text1"/>
        </w:rPr>
        <w:t xml:space="preserve"> million</w:t>
      </w:r>
    </w:p>
    <w:tbl>
      <w:tblPr>
        <w:tblW w:w="7713" w:type="dxa"/>
        <w:tblInd w:w="8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71"/>
        <w:gridCol w:w="1843"/>
        <w:gridCol w:w="1871"/>
        <w:gridCol w:w="2028"/>
      </w:tblGrid>
      <w:tr w:rsidR="00711670" w:rsidRPr="00711670" w:rsidTr="00DC2F9A">
        <w:trPr>
          <w:cantSplit/>
        </w:trPr>
        <w:tc>
          <w:tcPr>
            <w:tcW w:w="1971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514FCF" w:rsidRPr="00711670" w:rsidRDefault="00514FCF" w:rsidP="00514FCF">
            <w:pPr>
              <w:ind w:left="0" w:firstLine="0"/>
              <w:jc w:val="left"/>
              <w:rPr>
                <w:color w:val="000000" w:themeColor="text1"/>
              </w:rPr>
            </w:pPr>
            <w:r w:rsidRPr="00711670">
              <w:rPr>
                <w:color w:val="000000" w:themeColor="text1"/>
              </w:rPr>
              <w:t>Intervaly počtu</w:t>
            </w:r>
            <w:r w:rsidRPr="00711670">
              <w:rPr>
                <w:color w:val="000000" w:themeColor="text1"/>
              </w:rPr>
              <w:br/>
              <w:t>zamestnancov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jc w:val="center"/>
              <w:rPr>
                <w:color w:val="000000" w:themeColor="text1"/>
              </w:rPr>
            </w:pPr>
          </w:p>
        </w:tc>
        <w:tc>
          <w:tcPr>
            <w:tcW w:w="1871" w:type="dxa"/>
            <w:tcBorders>
              <w:top w:val="single" w:sz="12" w:space="0" w:color="auto"/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jc w:val="center"/>
              <w:rPr>
                <w:color w:val="000000" w:themeColor="text1"/>
                <w:vertAlign w:val="superscript"/>
              </w:rPr>
            </w:pPr>
          </w:p>
        </w:tc>
        <w:tc>
          <w:tcPr>
            <w:tcW w:w="2028" w:type="dxa"/>
            <w:vMerge w:val="restart"/>
            <w:tcBorders>
              <w:top w:val="single" w:sz="12" w:space="0" w:color="auto"/>
            </w:tcBorders>
            <w:vAlign w:val="center"/>
          </w:tcPr>
          <w:p w:rsidR="00514FCF" w:rsidRPr="00711670" w:rsidRDefault="00514FCF" w:rsidP="00514FCF">
            <w:pPr>
              <w:ind w:left="0" w:firstLine="0"/>
              <w:jc w:val="left"/>
              <w:rPr>
                <w:color w:val="000000" w:themeColor="text1"/>
              </w:rPr>
            </w:pPr>
            <w:r w:rsidRPr="00711670">
              <w:rPr>
                <w:color w:val="000000" w:themeColor="text1"/>
              </w:rPr>
              <w:t>Intervals of number</w:t>
            </w:r>
            <w:r w:rsidRPr="00711670">
              <w:rPr>
                <w:color w:val="000000" w:themeColor="text1"/>
              </w:rPr>
              <w:br/>
              <w:t>of employees</w:t>
            </w:r>
          </w:p>
        </w:tc>
      </w:tr>
      <w:tr w:rsidR="00711670" w:rsidRPr="00711670" w:rsidTr="00DC2F9A">
        <w:trPr>
          <w:cantSplit/>
        </w:trPr>
        <w:tc>
          <w:tcPr>
            <w:tcW w:w="1971" w:type="dxa"/>
            <w:vMerge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4FCF" w:rsidRPr="00711670" w:rsidRDefault="00514FCF" w:rsidP="00F31743">
            <w:pPr>
              <w:spacing w:before="40" w:after="20"/>
              <w:jc w:val="center"/>
              <w:rPr>
                <w:color w:val="000000" w:themeColor="text1"/>
              </w:rPr>
            </w:pPr>
            <w:r w:rsidRPr="00711670">
              <w:rPr>
                <w:color w:val="000000" w:themeColor="text1"/>
              </w:rPr>
              <w:t>201</w:t>
            </w:r>
            <w:r w:rsidR="00F31743">
              <w:rPr>
                <w:color w:val="000000" w:themeColor="text1"/>
              </w:rPr>
              <w:t>8</w:t>
            </w:r>
          </w:p>
        </w:tc>
        <w:tc>
          <w:tcPr>
            <w:tcW w:w="1871" w:type="dxa"/>
            <w:tcBorders>
              <w:right w:val="single" w:sz="6" w:space="0" w:color="auto"/>
            </w:tcBorders>
            <w:vAlign w:val="center"/>
          </w:tcPr>
          <w:p w:rsidR="00514FCF" w:rsidRPr="00711670" w:rsidRDefault="00514FCF" w:rsidP="00F31743">
            <w:pPr>
              <w:spacing w:before="40" w:after="20"/>
              <w:jc w:val="center"/>
              <w:rPr>
                <w:color w:val="000000" w:themeColor="text1"/>
                <w:vertAlign w:val="superscript"/>
              </w:rPr>
            </w:pPr>
            <w:r w:rsidRPr="00711670">
              <w:rPr>
                <w:color w:val="000000" w:themeColor="text1"/>
              </w:rPr>
              <w:t>201</w:t>
            </w:r>
            <w:r w:rsidR="00F31743">
              <w:rPr>
                <w:color w:val="000000" w:themeColor="text1"/>
              </w:rPr>
              <w:t>9</w:t>
            </w:r>
            <w:r w:rsidRPr="00711670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2028" w:type="dxa"/>
            <w:vMerge/>
          </w:tcPr>
          <w:p w:rsidR="00514FCF" w:rsidRPr="00711670" w:rsidRDefault="00514FCF" w:rsidP="00514FCF">
            <w:pPr>
              <w:spacing w:before="20" w:after="20"/>
              <w:rPr>
                <w:color w:val="000000" w:themeColor="text1"/>
              </w:rPr>
            </w:pPr>
          </w:p>
        </w:tc>
      </w:tr>
      <w:tr w:rsidR="00711670" w:rsidRPr="00711670">
        <w:trPr>
          <w:cantSplit/>
        </w:trPr>
        <w:tc>
          <w:tcPr>
            <w:tcW w:w="197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jc w:val="center"/>
              <w:rPr>
                <w:color w:val="000000" w:themeColor="text1"/>
              </w:rPr>
            </w:pPr>
          </w:p>
        </w:tc>
        <w:tc>
          <w:tcPr>
            <w:tcW w:w="1871" w:type="dxa"/>
            <w:tcBorders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20" w:after="20"/>
              <w:jc w:val="center"/>
              <w:rPr>
                <w:color w:val="000000" w:themeColor="text1"/>
              </w:rPr>
            </w:pPr>
          </w:p>
        </w:tc>
        <w:tc>
          <w:tcPr>
            <w:tcW w:w="2028" w:type="dxa"/>
            <w:vMerge/>
            <w:tcBorders>
              <w:bottom w:val="single" w:sz="12" w:space="0" w:color="auto"/>
            </w:tcBorders>
          </w:tcPr>
          <w:p w:rsidR="00514FCF" w:rsidRPr="00711670" w:rsidRDefault="00514FCF" w:rsidP="00514FCF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20" w:after="20"/>
              <w:rPr>
                <w:color w:val="000000" w:themeColor="text1"/>
              </w:rPr>
            </w:pP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7C061A">
            <w:pPr>
              <w:spacing w:before="240" w:after="120"/>
              <w:rPr>
                <w:rFonts w:cs="Arial"/>
                <w:b/>
                <w:color w:val="000000" w:themeColor="text1"/>
                <w:spacing w:val="-6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pacing w:val="-6"/>
                <w:szCs w:val="16"/>
              </w:rPr>
              <w:t xml:space="preserve">Výsledok </w:t>
            </w:r>
            <w:r w:rsidRPr="00711670">
              <w:rPr>
                <w:rFonts w:cs="Arial"/>
                <w:b/>
                <w:color w:val="000000" w:themeColor="text1"/>
                <w:szCs w:val="16"/>
              </w:rPr>
              <w:t>hospodárenia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514FCF" w:rsidRPr="00711670" w:rsidRDefault="00514FCF" w:rsidP="007C061A">
            <w:pPr>
              <w:spacing w:before="240" w:after="120"/>
              <w:ind w:right="567"/>
              <w:jc w:val="right"/>
              <w:rPr>
                <w:rFonts w:cs="Arial"/>
                <w:b/>
                <w:color w:val="000000" w:themeColor="text1"/>
                <w:szCs w:val="16"/>
                <w:highlight w:val="yellow"/>
              </w:rPr>
            </w:pPr>
          </w:p>
        </w:tc>
        <w:tc>
          <w:tcPr>
            <w:tcW w:w="1871" w:type="dxa"/>
            <w:tcBorders>
              <w:left w:val="single" w:sz="6" w:space="0" w:color="auto"/>
              <w:right w:val="single" w:sz="6" w:space="0" w:color="auto"/>
            </w:tcBorders>
          </w:tcPr>
          <w:p w:rsidR="00514FCF" w:rsidRPr="00711670" w:rsidRDefault="00514FCF" w:rsidP="007C061A">
            <w:pPr>
              <w:spacing w:before="240" w:after="120"/>
              <w:ind w:right="567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</w:p>
        </w:tc>
        <w:tc>
          <w:tcPr>
            <w:tcW w:w="2028" w:type="dxa"/>
            <w:tcBorders>
              <w:left w:val="single" w:sz="6" w:space="0" w:color="auto"/>
            </w:tcBorders>
          </w:tcPr>
          <w:p w:rsidR="00514FCF" w:rsidRPr="00711670" w:rsidRDefault="00514FCF" w:rsidP="007C061A">
            <w:pPr>
              <w:spacing w:before="240" w:after="12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Profit / loss</w:t>
            </w:r>
          </w:p>
        </w:tc>
      </w:tr>
      <w:tr w:rsidR="00711670" w:rsidRPr="00711670" w:rsidTr="00860DBE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8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Spolu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9 787,20</w:t>
            </w:r>
          </w:p>
        </w:tc>
        <w:tc>
          <w:tcPr>
            <w:tcW w:w="187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9 169,69</w:t>
            </w:r>
          </w:p>
        </w:tc>
        <w:tc>
          <w:tcPr>
            <w:tcW w:w="2028" w:type="dxa"/>
            <w:tcBorders>
              <w:left w:val="single" w:sz="6" w:space="0" w:color="auto"/>
            </w:tcBorders>
          </w:tcPr>
          <w:p w:rsidR="00514FCF" w:rsidRPr="00711670" w:rsidRDefault="00514FCF" w:rsidP="00514FCF">
            <w:pPr>
              <w:spacing w:before="8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Total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Malé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2 686,02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2 410,46</w:t>
            </w:r>
          </w:p>
        </w:tc>
        <w:tc>
          <w:tcPr>
            <w:tcW w:w="2028" w:type="dxa"/>
            <w:tcBorders>
              <w:lef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Small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0  –     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2 159,70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1 906,62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  0  –     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10  –   19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526,32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503,84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10  –    19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Stredné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de-DE"/>
              </w:rPr>
              <w:t>2 290,18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de-DE"/>
              </w:rPr>
              <w:t>2 182,50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  <w:lang w:val="de-DE"/>
              </w:rPr>
              <w:t>Medium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20  –    49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color w:val="000000" w:themeColor="text1"/>
                <w:szCs w:val="16"/>
                <w:lang w:val="en-AU"/>
              </w:rPr>
              <w:t>927,86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  <w:lang w:val="de-DE"/>
              </w:rPr>
              <w:t>898,03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20  –    49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50  –  249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color w:val="000000" w:themeColor="text1"/>
                <w:szCs w:val="16"/>
                <w:lang w:val="en-AU"/>
              </w:rPr>
              <w:t>1 362,32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  <w:lang w:val="de-DE"/>
              </w:rPr>
              <w:t>1 284,47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color w:val="000000" w:themeColor="text1"/>
                <w:szCs w:val="16"/>
                <w:lang w:val="de-DE"/>
              </w:rPr>
              <w:t xml:space="preserve">        50  –  249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Veľké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4 811,00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en-AU"/>
              </w:rPr>
              <w:t>4 576,73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Large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250  –  499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458,75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680,59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250  –  499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500  –  999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1 826,73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1 565,88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500  –  999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</w:t>
            </w:r>
            <w:bookmarkStart w:id="0" w:name="_GoBack"/>
            <w:bookmarkEnd w:id="0"/>
            <w:r w:rsidRPr="00711670">
              <w:rPr>
                <w:rFonts w:cs="Arial"/>
                <w:color w:val="000000" w:themeColor="text1"/>
                <w:szCs w:val="16"/>
              </w:rPr>
              <w:t>1 000 a viac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2 525,52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2 330,26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1 000 and more</w:t>
            </w:r>
          </w:p>
        </w:tc>
      </w:tr>
      <w:tr w:rsidR="00711670" w:rsidRPr="00711670">
        <w:trPr>
          <w:trHeight w:val="330"/>
        </w:trPr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2028" w:type="dxa"/>
          </w:tcPr>
          <w:p w:rsidR="00514FCF" w:rsidRPr="00711670" w:rsidRDefault="00514FCF" w:rsidP="00514FCF">
            <w:pPr>
              <w:rPr>
                <w:rFonts w:cs="Arial"/>
                <w:color w:val="000000" w:themeColor="text1"/>
                <w:szCs w:val="16"/>
              </w:rPr>
            </w:pP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120" w:after="12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Výnosy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80" w:after="40"/>
              <w:ind w:right="454"/>
              <w:jc w:val="right"/>
              <w:rPr>
                <w:rStyle w:val="Jemnzvraznenie"/>
                <w:color w:val="000000" w:themeColor="text1"/>
              </w:rPr>
            </w:pP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120" w:after="12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Revenues</w:t>
            </w:r>
          </w:p>
        </w:tc>
      </w:tr>
      <w:tr w:rsidR="00711670" w:rsidRPr="00711670" w:rsidTr="00860DBE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8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Spolu</w:t>
            </w:r>
          </w:p>
        </w:tc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232 363,11</w:t>
            </w:r>
          </w:p>
        </w:tc>
        <w:tc>
          <w:tcPr>
            <w:tcW w:w="1871" w:type="dxa"/>
            <w:tcBorders>
              <w:right w:val="single" w:sz="6" w:space="0" w:color="auto"/>
            </w:tcBorders>
            <w:vAlign w:val="bottom"/>
          </w:tcPr>
          <w:p w:rsidR="00514FCF" w:rsidRPr="00711670" w:rsidRDefault="00C81EC0" w:rsidP="00514FCF">
            <w:pPr>
              <w:spacing w:before="8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224 036,84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8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Total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Malé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59 454,27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51 904,67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Small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0  –      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46 776,59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40 328,49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  0  –     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10  –    19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12 677,68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11 576,18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10  –    19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Stredné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de-DE"/>
              </w:rPr>
              <w:t>70 229,11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bCs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b/>
                <w:bCs/>
                <w:color w:val="000000" w:themeColor="text1"/>
                <w:szCs w:val="16"/>
                <w:lang w:val="de-DE"/>
              </w:rPr>
              <w:t>70 199,63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  <w:lang w:val="de-DE"/>
              </w:rPr>
              <w:t>Medium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20  –    49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color w:val="000000" w:themeColor="text1"/>
                <w:szCs w:val="16"/>
                <w:lang w:val="en-AU"/>
              </w:rPr>
              <w:t>25 442,45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  <w:lang w:val="de-DE"/>
              </w:rPr>
              <w:t>25 180,15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  20  –    49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50  –  249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color w:val="000000" w:themeColor="text1"/>
                <w:szCs w:val="16"/>
                <w:lang w:val="en-AU"/>
              </w:rPr>
              <w:t>44 786,66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  <w:lang w:val="de-DE"/>
              </w:rPr>
              <w:t>45 019,48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  <w:lang w:val="de-DE"/>
              </w:rPr>
            </w:pPr>
            <w:r w:rsidRPr="00711670">
              <w:rPr>
                <w:rFonts w:cs="Arial"/>
                <w:color w:val="000000" w:themeColor="text1"/>
                <w:szCs w:val="16"/>
                <w:lang w:val="de-DE"/>
              </w:rPr>
              <w:t xml:space="preserve">        50  –  249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Veľké podniky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102 679,73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b/>
                <w:color w:val="000000" w:themeColor="text1"/>
                <w:szCs w:val="16"/>
                <w:lang w:val="en-AU"/>
              </w:rPr>
            </w:pPr>
            <w:r>
              <w:rPr>
                <w:rFonts w:cs="Arial"/>
                <w:b/>
                <w:color w:val="000000" w:themeColor="text1"/>
                <w:szCs w:val="16"/>
                <w:lang w:val="en-AU"/>
              </w:rPr>
              <w:t>101 932,54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b/>
                <w:color w:val="000000" w:themeColor="text1"/>
                <w:szCs w:val="16"/>
              </w:rPr>
            </w:pPr>
            <w:r w:rsidRPr="00711670">
              <w:rPr>
                <w:rFonts w:cs="Arial"/>
                <w:b/>
                <w:color w:val="000000" w:themeColor="text1"/>
                <w:szCs w:val="16"/>
              </w:rPr>
              <w:t>Large enterprises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250  –  499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18 193,16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6D11FB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19 199,50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250  –  499</w:t>
            </w:r>
          </w:p>
        </w:tc>
      </w:tr>
      <w:tr w:rsidR="00711670" w:rsidRPr="00711670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500  –  999</w:t>
            </w:r>
          </w:p>
        </w:tc>
        <w:tc>
          <w:tcPr>
            <w:tcW w:w="1843" w:type="dxa"/>
            <w:tcBorders>
              <w:right w:val="single" w:sz="6" w:space="0" w:color="auto"/>
            </w:tcBorders>
          </w:tcPr>
          <w:p w:rsidR="00514FCF" w:rsidRPr="00711670" w:rsidRDefault="00C81EC0" w:rsidP="00E064FE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23 832,69</w:t>
            </w:r>
          </w:p>
        </w:tc>
        <w:tc>
          <w:tcPr>
            <w:tcW w:w="1871" w:type="dxa"/>
            <w:tcBorders>
              <w:right w:val="single" w:sz="6" w:space="0" w:color="auto"/>
            </w:tcBorders>
          </w:tcPr>
          <w:p w:rsidR="00514FCF" w:rsidRPr="00711670" w:rsidRDefault="006D11FB" w:rsidP="00514FCF">
            <w:pPr>
              <w:spacing w:before="40"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23 134,44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   500  –  999</w:t>
            </w:r>
          </w:p>
        </w:tc>
      </w:tr>
      <w:tr w:rsidR="00514FCF" w:rsidRPr="00711670" w:rsidTr="00DC2F9A">
        <w:tc>
          <w:tcPr>
            <w:tcW w:w="1971" w:type="dxa"/>
            <w:tcBorders>
              <w:right w:val="single" w:sz="6" w:space="0" w:color="auto"/>
            </w:tcBorders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1 000 a viac</w:t>
            </w:r>
          </w:p>
        </w:tc>
        <w:tc>
          <w:tcPr>
            <w:tcW w:w="1843" w:type="dxa"/>
            <w:tcBorders>
              <w:right w:val="single" w:sz="6" w:space="0" w:color="auto"/>
            </w:tcBorders>
            <w:vAlign w:val="bottom"/>
          </w:tcPr>
          <w:p w:rsidR="00514FCF" w:rsidRPr="00711670" w:rsidRDefault="00C81EC0" w:rsidP="00514FCF">
            <w:pPr>
              <w:spacing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60 653,88</w:t>
            </w:r>
          </w:p>
        </w:tc>
        <w:tc>
          <w:tcPr>
            <w:tcW w:w="1871" w:type="dxa"/>
            <w:tcBorders>
              <w:right w:val="single" w:sz="6" w:space="0" w:color="auto"/>
            </w:tcBorders>
            <w:vAlign w:val="bottom"/>
          </w:tcPr>
          <w:p w:rsidR="00514FCF" w:rsidRPr="00711670" w:rsidRDefault="006D11FB" w:rsidP="00514FCF">
            <w:pPr>
              <w:spacing w:after="40"/>
              <w:ind w:right="454"/>
              <w:jc w:val="righ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59 598,60</w:t>
            </w:r>
          </w:p>
        </w:tc>
        <w:tc>
          <w:tcPr>
            <w:tcW w:w="2028" w:type="dxa"/>
          </w:tcPr>
          <w:p w:rsidR="00514FCF" w:rsidRPr="00711670" w:rsidRDefault="00514FCF" w:rsidP="00514FCF">
            <w:pPr>
              <w:spacing w:before="40" w:after="40"/>
              <w:rPr>
                <w:rFonts w:cs="Arial"/>
                <w:color w:val="000000" w:themeColor="text1"/>
                <w:szCs w:val="16"/>
              </w:rPr>
            </w:pPr>
            <w:r w:rsidRPr="00711670">
              <w:rPr>
                <w:rFonts w:cs="Arial"/>
                <w:color w:val="000000" w:themeColor="text1"/>
                <w:szCs w:val="16"/>
              </w:rPr>
              <w:t xml:space="preserve">   1 000 and more</w:t>
            </w:r>
          </w:p>
        </w:tc>
      </w:tr>
    </w:tbl>
    <w:p w:rsidR="00FB1998" w:rsidRPr="00711670" w:rsidRDefault="00FB1998" w:rsidP="00FB1998">
      <w:pPr>
        <w:tabs>
          <w:tab w:val="left" w:pos="624"/>
        </w:tabs>
        <w:rPr>
          <w:b/>
          <w:color w:val="000000" w:themeColor="text1"/>
          <w:sz w:val="18"/>
        </w:rPr>
      </w:pPr>
    </w:p>
    <w:p w:rsidR="00544C73" w:rsidRPr="00711670" w:rsidRDefault="00544C73" w:rsidP="00544C7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spacing w:before="120"/>
        <w:rPr>
          <w:rFonts w:cs="Arial"/>
          <w:b w:val="0"/>
          <w:color w:val="000000" w:themeColor="text1"/>
          <w:sz w:val="14"/>
          <w:szCs w:val="14"/>
        </w:rPr>
      </w:pPr>
      <w:r w:rsidRPr="00711670"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 w:rsidRPr="00711670">
        <w:rPr>
          <w:rFonts w:cs="Arial"/>
          <w:color w:val="000000" w:themeColor="text1"/>
          <w:sz w:val="14"/>
          <w:szCs w:val="14"/>
          <w:vertAlign w:val="superscript"/>
        </w:rPr>
        <w:t xml:space="preserve"> </w:t>
      </w:r>
      <w:r w:rsidRPr="00711670">
        <w:rPr>
          <w:rFonts w:cs="Arial"/>
          <w:b w:val="0"/>
          <w:color w:val="000000" w:themeColor="text1"/>
          <w:sz w:val="14"/>
          <w:szCs w:val="14"/>
        </w:rPr>
        <w:t xml:space="preserve">predbežné údaje </w:t>
      </w:r>
      <w:r w:rsidRPr="00711670">
        <w:rPr>
          <w:rFonts w:cs="Arial"/>
          <w:b w:val="0"/>
          <w:color w:val="000000" w:themeColor="text1"/>
          <w:sz w:val="14"/>
          <w:szCs w:val="14"/>
        </w:rPr>
        <w:tab/>
      </w:r>
      <w:r w:rsidRPr="00711670">
        <w:rPr>
          <w:rFonts w:cs="Arial"/>
          <w:b w:val="0"/>
          <w:color w:val="000000" w:themeColor="text1"/>
          <w:sz w:val="14"/>
          <w:szCs w:val="14"/>
          <w:vertAlign w:val="superscript"/>
        </w:rPr>
        <w:t xml:space="preserve">1) </w:t>
      </w:r>
      <w:r w:rsidRPr="00711670">
        <w:rPr>
          <w:rFonts w:cs="Arial"/>
          <w:b w:val="0"/>
          <w:color w:val="000000" w:themeColor="text1"/>
          <w:sz w:val="14"/>
          <w:szCs w:val="14"/>
        </w:rPr>
        <w:t>Preliminary data</w:t>
      </w:r>
    </w:p>
    <w:p w:rsidR="002E1078" w:rsidRPr="00711670" w:rsidRDefault="00FB1998" w:rsidP="006243E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573"/>
        </w:tabs>
        <w:spacing w:line="240" w:lineRule="auto"/>
        <w:ind w:left="0" w:right="282" w:firstLine="0"/>
        <w:rPr>
          <w:color w:val="000000" w:themeColor="text1"/>
          <w:sz w:val="14"/>
          <w:szCs w:val="14"/>
        </w:rPr>
      </w:pPr>
      <w:r w:rsidRPr="00711670">
        <w:rPr>
          <w:color w:val="000000" w:themeColor="text1"/>
          <w:sz w:val="14"/>
          <w:szCs w:val="14"/>
        </w:rPr>
        <w:tab/>
      </w:r>
    </w:p>
    <w:p w:rsidR="00514FCF" w:rsidRPr="00711670" w:rsidRDefault="00FB1998" w:rsidP="00514FC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right" w:pos="7711"/>
        </w:tabs>
        <w:spacing w:line="240" w:lineRule="auto"/>
        <w:ind w:left="0" w:right="282" w:firstLine="0"/>
        <w:rPr>
          <w:color w:val="000000" w:themeColor="text1"/>
        </w:rPr>
      </w:pPr>
      <w:r w:rsidRPr="00711670">
        <w:rPr>
          <w:color w:val="000000" w:themeColor="text1"/>
        </w:rPr>
        <w:br w:type="page"/>
      </w:r>
      <w:r w:rsidR="00514FCF" w:rsidRPr="00711670">
        <w:rPr>
          <w:b/>
          <w:color w:val="000000" w:themeColor="text1"/>
          <w:sz w:val="18"/>
          <w:szCs w:val="18"/>
        </w:rPr>
        <w:lastRenderedPageBreak/>
        <w:t>T 25</w:t>
      </w:r>
      <w:r w:rsidR="00514FCF" w:rsidRPr="00711670">
        <w:rPr>
          <w:bCs/>
          <w:color w:val="000000" w:themeColor="text1"/>
          <w:sz w:val="18"/>
          <w:szCs w:val="18"/>
        </w:rPr>
        <w:t>–2.</w:t>
      </w:r>
      <w:r w:rsidR="00514FCF" w:rsidRPr="00711670">
        <w:rPr>
          <w:bCs/>
          <w:color w:val="000000" w:themeColor="text1"/>
          <w:sz w:val="18"/>
          <w:szCs w:val="18"/>
        </w:rPr>
        <w:tab/>
      </w:r>
      <w:r w:rsidR="00514FCF" w:rsidRPr="00711670">
        <w:rPr>
          <w:b/>
          <w:color w:val="000000" w:themeColor="text1"/>
          <w:sz w:val="18"/>
          <w:szCs w:val="18"/>
        </w:rPr>
        <w:t>Vybrané finančné ukazovatele nefinančných korporácií</w:t>
      </w:r>
      <w:r w:rsidR="00514FCF" w:rsidRPr="00711670">
        <w:rPr>
          <w:color w:val="000000" w:themeColor="text1"/>
        </w:rPr>
        <w:t xml:space="preserve"> </w:t>
      </w:r>
    </w:p>
    <w:p w:rsidR="00514FCF" w:rsidRPr="00711670" w:rsidRDefault="00514FCF" w:rsidP="00514FCF">
      <w:pPr>
        <w:pStyle w:val="Nadpis2"/>
        <w:tabs>
          <w:tab w:val="clear" w:pos="680"/>
          <w:tab w:val="left" w:pos="709"/>
        </w:tabs>
        <w:spacing w:before="0" w:after="0" w:line="240" w:lineRule="auto"/>
        <w:ind w:left="0" w:right="-114" w:firstLine="0"/>
        <w:jc w:val="left"/>
        <w:rPr>
          <w:b w:val="0"/>
          <w:i w:val="0"/>
          <w:color w:val="000000" w:themeColor="text1"/>
          <w:sz w:val="18"/>
        </w:rPr>
      </w:pPr>
      <w:r w:rsidRPr="00711670">
        <w:rPr>
          <w:b w:val="0"/>
          <w:i w:val="0"/>
          <w:color w:val="000000" w:themeColor="text1"/>
          <w:sz w:val="18"/>
        </w:rPr>
        <w:tab/>
        <w:t xml:space="preserve">Selected financial indicators of non-financial </w:t>
      </w:r>
      <w:r w:rsidRPr="00711670">
        <w:rPr>
          <w:b w:val="0"/>
          <w:i w:val="0"/>
          <w:color w:val="000000" w:themeColor="text1"/>
          <w:sz w:val="18"/>
          <w:lang w:val="en-US"/>
        </w:rPr>
        <w:t>corporations</w:t>
      </w:r>
      <w:r w:rsidRPr="00711670">
        <w:rPr>
          <w:b w:val="0"/>
          <w:i w:val="0"/>
          <w:color w:val="000000" w:themeColor="text1"/>
          <w:sz w:val="18"/>
        </w:rPr>
        <w:t xml:space="preserve"> </w:t>
      </w:r>
    </w:p>
    <w:p w:rsidR="00CF5EDC" w:rsidRPr="00711670" w:rsidRDefault="00CF5EDC" w:rsidP="00CF5EDC">
      <w:pPr>
        <w:pStyle w:val="pravy-lavy"/>
        <w:ind w:left="0" w:firstLine="0"/>
        <w:rPr>
          <w:rFonts w:cs="Arial"/>
          <w:color w:val="000000" w:themeColor="text1"/>
          <w:sz w:val="18"/>
          <w:szCs w:val="18"/>
          <w:lang w:val="en-US"/>
        </w:rPr>
      </w:pPr>
    </w:p>
    <w:p w:rsidR="00514FCF" w:rsidRPr="00711670" w:rsidRDefault="00514FCF" w:rsidP="00CF5EDC">
      <w:pPr>
        <w:pStyle w:val="pravy-lavy"/>
        <w:ind w:left="0" w:firstLine="0"/>
        <w:rPr>
          <w:rFonts w:cs="Arial"/>
          <w:color w:val="000000" w:themeColor="text1"/>
          <w:lang w:val="de-DE"/>
        </w:rPr>
      </w:pPr>
      <w:r w:rsidRPr="00711670">
        <w:rPr>
          <w:rFonts w:cs="Arial"/>
          <w:color w:val="000000" w:themeColor="text1"/>
          <w:lang w:val="de-DE"/>
        </w:rPr>
        <w:t>v mil. E</w:t>
      </w:r>
      <w:r w:rsidR="00BE279D" w:rsidRPr="00711670">
        <w:rPr>
          <w:rFonts w:cs="Arial"/>
          <w:color w:val="000000" w:themeColor="text1"/>
          <w:lang w:val="de-DE"/>
        </w:rPr>
        <w:t>UR</w:t>
      </w:r>
      <w:r w:rsidRPr="00711670">
        <w:rPr>
          <w:rFonts w:cs="Arial"/>
          <w:color w:val="000000" w:themeColor="text1"/>
          <w:lang w:val="de-DE"/>
        </w:rPr>
        <w:tab/>
      </w:r>
      <w:r w:rsidR="00313DF6" w:rsidRPr="00711670">
        <w:rPr>
          <w:rFonts w:cs="Arial"/>
          <w:color w:val="000000" w:themeColor="text1"/>
          <w:lang w:val="de-DE"/>
        </w:rPr>
        <w:t xml:space="preserve"> </w:t>
      </w:r>
      <w:r w:rsidRPr="00711670">
        <w:rPr>
          <w:rFonts w:cs="Arial"/>
          <w:color w:val="000000" w:themeColor="text1"/>
          <w:lang w:val="de-DE"/>
        </w:rPr>
        <w:t>EUR</w:t>
      </w:r>
      <w:r w:rsidR="00313DF6" w:rsidRPr="00711670">
        <w:rPr>
          <w:rFonts w:cs="Arial"/>
          <w:color w:val="000000" w:themeColor="text1"/>
          <w:lang w:val="de-DE"/>
        </w:rPr>
        <w:t xml:space="preserve"> million</w:t>
      </w:r>
    </w:p>
    <w:tbl>
      <w:tblPr>
        <w:tblW w:w="7727" w:type="dxa"/>
        <w:tblInd w:w="42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98"/>
        <w:gridCol w:w="728"/>
        <w:gridCol w:w="700"/>
        <w:gridCol w:w="783"/>
        <w:gridCol w:w="850"/>
        <w:gridCol w:w="2468"/>
      </w:tblGrid>
      <w:tr w:rsidR="00711670" w:rsidRPr="00711670" w:rsidTr="00EB76C5">
        <w:trPr>
          <w:cantSplit/>
        </w:trPr>
        <w:tc>
          <w:tcPr>
            <w:tcW w:w="2198" w:type="dxa"/>
            <w:vMerge w:val="restart"/>
            <w:tcBorders>
              <w:top w:val="single" w:sz="12" w:space="0" w:color="auto"/>
            </w:tcBorders>
            <w:vAlign w:val="center"/>
          </w:tcPr>
          <w:p w:rsidR="00514FCF" w:rsidRPr="00711670" w:rsidRDefault="00514FCF" w:rsidP="00EB76C5">
            <w:pPr>
              <w:jc w:val="lef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SK NACE Rev. 2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FCF" w:rsidRPr="00711670" w:rsidRDefault="00514FCF" w:rsidP="00EB76C5">
            <w:pPr>
              <w:spacing w:before="40" w:after="40"/>
              <w:ind w:left="0" w:firstLine="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Výsledok hospodárenia</w:t>
            </w:r>
            <w:r w:rsidRPr="00711670">
              <w:rPr>
                <w:rFonts w:cs="Arial"/>
                <w:color w:val="000000" w:themeColor="text1"/>
              </w:rPr>
              <w:br/>
              <w:t>Profit / loss</w:t>
            </w:r>
          </w:p>
        </w:tc>
        <w:tc>
          <w:tcPr>
            <w:tcW w:w="1633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4FCF" w:rsidRPr="00711670" w:rsidRDefault="00514FCF" w:rsidP="00EB76C5">
            <w:pPr>
              <w:spacing w:before="40" w:after="40"/>
              <w:ind w:left="0" w:firstLine="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Náklady</w:t>
            </w:r>
            <w:r w:rsidRPr="00711670">
              <w:rPr>
                <w:rFonts w:cs="Arial"/>
                <w:color w:val="000000" w:themeColor="text1"/>
              </w:rPr>
              <w:br/>
            </w:r>
            <w:r w:rsidRPr="00711670">
              <w:rPr>
                <w:rFonts w:cs="Arial"/>
                <w:color w:val="000000" w:themeColor="text1"/>
              </w:rPr>
              <w:br/>
              <w:t>Costs</w:t>
            </w:r>
          </w:p>
        </w:tc>
        <w:tc>
          <w:tcPr>
            <w:tcW w:w="2468" w:type="dxa"/>
            <w:vMerge w:val="restart"/>
            <w:tcBorders>
              <w:top w:val="single" w:sz="12" w:space="0" w:color="auto"/>
            </w:tcBorders>
            <w:vAlign w:val="center"/>
          </w:tcPr>
          <w:p w:rsidR="00514FCF" w:rsidRPr="00711670" w:rsidRDefault="00514FCF" w:rsidP="00EB76C5">
            <w:pPr>
              <w:jc w:val="lef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SK NACE Rev. 2</w:t>
            </w:r>
          </w:p>
        </w:tc>
      </w:tr>
      <w:tr w:rsidR="00711670" w:rsidRPr="00711670" w:rsidTr="00EF3B96">
        <w:trPr>
          <w:cantSplit/>
        </w:trPr>
        <w:tc>
          <w:tcPr>
            <w:tcW w:w="2198" w:type="dxa"/>
            <w:vMerge/>
            <w:tcBorders>
              <w:bottom w:val="single" w:sz="12" w:space="0" w:color="auto"/>
            </w:tcBorders>
          </w:tcPr>
          <w:p w:rsidR="00514FCF" w:rsidRPr="00711670" w:rsidRDefault="00514FCF" w:rsidP="00EF3B96">
            <w:pPr>
              <w:spacing w:line="22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F31743">
            <w:pPr>
              <w:spacing w:before="40" w:after="40" w:line="170" w:lineRule="exact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 w:rsidR="00F31743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12" w:space="0" w:color="auto"/>
            </w:tcBorders>
          </w:tcPr>
          <w:p w:rsidR="00514FCF" w:rsidRPr="00711670" w:rsidRDefault="00514FCF" w:rsidP="00F31743">
            <w:pPr>
              <w:spacing w:before="40" w:after="40" w:line="170" w:lineRule="exact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 w:rsidR="00F31743">
              <w:rPr>
                <w:rFonts w:cs="Arial"/>
                <w:color w:val="000000" w:themeColor="text1"/>
              </w:rPr>
              <w:t>9</w:t>
            </w:r>
            <w:r w:rsidRPr="00711670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F31743">
            <w:pPr>
              <w:spacing w:before="40" w:after="40" w:line="170" w:lineRule="exact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 w:rsidR="00F31743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14FCF" w:rsidRPr="00711670" w:rsidRDefault="00514FCF" w:rsidP="00F31743">
            <w:pPr>
              <w:spacing w:before="40" w:after="40" w:line="170" w:lineRule="exact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 w:rsidR="00F31743">
              <w:rPr>
                <w:rFonts w:cs="Arial"/>
                <w:color w:val="000000" w:themeColor="text1"/>
              </w:rPr>
              <w:t>9</w:t>
            </w:r>
            <w:r w:rsidRPr="00711670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2468" w:type="dxa"/>
            <w:vMerge/>
            <w:tcBorders>
              <w:bottom w:val="single" w:sz="12" w:space="0" w:color="auto"/>
            </w:tcBorders>
          </w:tcPr>
          <w:p w:rsidR="00514FCF" w:rsidRPr="00711670" w:rsidRDefault="00514FCF" w:rsidP="00EF3B96">
            <w:pPr>
              <w:spacing w:line="220" w:lineRule="exact"/>
              <w:rPr>
                <w:color w:val="000000" w:themeColor="text1"/>
              </w:rPr>
            </w:pP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7C061A">
            <w:pPr>
              <w:spacing w:before="120" w:line="190" w:lineRule="atLeas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b/>
                <w:color w:val="000000" w:themeColor="text1"/>
                <w:szCs w:val="16"/>
              </w:rPr>
              <w:t>Spolu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7C061A">
            <w:pPr>
              <w:spacing w:before="120" w:line="190" w:lineRule="atLeast"/>
              <w:ind w:right="57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b/>
                <w:color w:val="000000" w:themeColor="text1"/>
                <w:szCs w:val="16"/>
              </w:rPr>
              <w:t>9 787,20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7C061A">
            <w:pPr>
              <w:spacing w:before="120" w:line="190" w:lineRule="atLeast"/>
              <w:ind w:right="57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b/>
                <w:color w:val="000000" w:themeColor="text1"/>
                <w:szCs w:val="16"/>
              </w:rPr>
              <w:t>9 169,69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7C061A">
            <w:pPr>
              <w:spacing w:before="120" w:line="190" w:lineRule="atLeast"/>
              <w:ind w:right="57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b/>
                <w:color w:val="000000" w:themeColor="text1"/>
                <w:szCs w:val="16"/>
              </w:rPr>
              <w:t>222 575,91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C61254" w:rsidP="007C061A">
            <w:pPr>
              <w:spacing w:before="120" w:line="190" w:lineRule="atLeast"/>
              <w:ind w:right="57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b/>
                <w:color w:val="000000" w:themeColor="text1"/>
                <w:szCs w:val="16"/>
              </w:rPr>
              <w:t>214 867,15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7C061A">
            <w:pPr>
              <w:spacing w:before="120" w:line="190" w:lineRule="atLeast"/>
              <w:ind w:left="57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b/>
                <w:color w:val="000000" w:themeColor="text1"/>
                <w:szCs w:val="16"/>
              </w:rPr>
              <w:t>Total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hanging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 tom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514FCF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514FCF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514FCF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7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hanging="5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Poľnohospodárstvo, lesníctvo a rybolov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154,68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108,67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3 719,35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3 600,97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hanging="6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Agriculture, forestry and fishing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FE6388">
            <w:pPr>
              <w:spacing w:line="190" w:lineRule="atLeast"/>
              <w:ind w:left="170" w:right="-57" w:hanging="5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z toho poľnohospodárstvo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103,43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66,60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2 935,55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2 938,86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hanging="5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of which: Agriculture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FE6388">
            <w:pPr>
              <w:spacing w:line="190" w:lineRule="atLeast"/>
              <w:ind w:left="170" w:hanging="56"/>
              <w:jc w:val="lef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iCs/>
                <w:color w:val="000000" w:themeColor="text1"/>
                <w:szCs w:val="16"/>
              </w:rPr>
              <w:t>Priemysel</w:t>
            </w:r>
            <w:r w:rsidRPr="00711670"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 xml:space="preserve"> spolu 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>4 025,02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>3 527,95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>100 786,17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>99 074,71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hanging="66"/>
              <w:jc w:val="left"/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</w:pPr>
            <w:r w:rsidRPr="00711670">
              <w:rPr>
                <w:rStyle w:val="Jemnzvraznenie"/>
                <w:rFonts w:ascii="Arial Narrow" w:hAnsi="Arial Narrow"/>
                <w:i w:val="0"/>
                <w:color w:val="000000" w:themeColor="text1"/>
                <w:szCs w:val="16"/>
              </w:rPr>
              <w:t>Industry total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firstLine="8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Ťažba a dobývanie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131,13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145,75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623,62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625,93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firstLine="7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Mining and quarrying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firstLine="8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Priemyselná výroba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3 278,68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2 503,16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84 314,65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83 800,85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firstLine="7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Manufacturing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39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výroba potravín, nápojov a tabakových výrobkov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130,77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117,56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4 656,35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4 763,75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29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Manufacture of food products, beverages and tobacco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39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výroba koksu a rafinovaných ropných produktov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120,50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-37,56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4 603,00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4 536,81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29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Manufacture of coke and refined petroleum products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39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výroba chemikálií, chemických produktov, základných farmaceutických výrobkov a prípravkov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17,76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53,50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2 058,89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4852EB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1 912,82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29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Manufacture of chemicals and chem. products, basic pharm. products and pharm. preparations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tabs>
                <w:tab w:val="left" w:pos="482"/>
              </w:tabs>
              <w:spacing w:line="190" w:lineRule="atLeast"/>
              <w:ind w:left="539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výroba kovov a kovových konštrukcií okrem strojov a zariadení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622,82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164,40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11 714,84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11 122,91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29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Manufacture of basic metals. fabricated metal products excl. machinery and equipment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tabs>
                <w:tab w:val="left" w:pos="482"/>
              </w:tabs>
              <w:spacing w:line="190" w:lineRule="atLeast"/>
              <w:ind w:left="539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výroba motorových vozidiel, návesov, prívesov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929,92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957,39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31 488,81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32 393,19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29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Manufacture of motor vehicles, trailers and semi-trailers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398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Dodávka elektriny, plynu, pary a studeného vzduchu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574,33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848,70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14 356,16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13 160,22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387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Electricity, gas, steam and air conditioning supply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398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Dodávka vody, čistenie a odvod odpadových vôd, odpady a služby odstraňovania odpadov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40,88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30,34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1 491,74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1 487,71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387" w:right="-57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Water supply; sewerage, waste management and remediation activities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398" w:hanging="284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Stavebníctvo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378,28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362,10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10 300,66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9 681,24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Construction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Veľkoobchod a maloobchod</w:t>
            </w:r>
            <w:r w:rsidRPr="00711670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;</w:t>
            </w:r>
            <w:r w:rsidRPr="00711670">
              <w:rPr>
                <w:rFonts w:ascii="Arial Narrow" w:hAnsi="Arial Narrow"/>
                <w:color w:val="000000" w:themeColor="text1"/>
                <w:szCs w:val="16"/>
              </w:rPr>
              <w:t xml:space="preserve"> oprava motorových vozidiel, motocyklov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1 685,32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1 623,86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58 234,13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56 242,53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 xml:space="preserve">Wholesale and retail trade, repair of motor vehicles and motorcycles 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57" w:firstLine="57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Doprava a skladovanie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608,46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676,82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10 475,14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9 759,22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Transportation and storage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Ubytovacie a stravovacie služby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-24,57</w:t>
            </w:r>
          </w:p>
        </w:tc>
        <w:tc>
          <w:tcPr>
            <w:tcW w:w="700" w:type="dxa"/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-5,54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1 829,57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1 674,00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 xml:space="preserve">Accommodation, food and beverage  service activities  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Informácie a komunikácie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742,13</w:t>
            </w:r>
          </w:p>
        </w:tc>
        <w:tc>
          <w:tcPr>
            <w:tcW w:w="700" w:type="dxa"/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891,57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6 805,30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6 854,85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170" w:right="-57" w:hanging="66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Information and communication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Činnosti v oblasti nehnuteľností, odborné, vedecké a technické činnosti; administratívne a podporné služby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1 808,86</w:t>
            </w:r>
          </w:p>
        </w:tc>
        <w:tc>
          <w:tcPr>
            <w:tcW w:w="700" w:type="dxa"/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1 671,90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24 667,50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22 043,48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Real estate, professional, scientific and technical activities, administrative and supporting activities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Vzdelávanie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96,02</w:t>
            </w:r>
          </w:p>
        </w:tc>
        <w:tc>
          <w:tcPr>
            <w:tcW w:w="700" w:type="dxa"/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24,40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343,86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>
              <w:rPr>
                <w:rFonts w:ascii="Arial Narrow" w:hAnsi="Arial Narrow"/>
                <w:color w:val="000000" w:themeColor="text1"/>
                <w:szCs w:val="16"/>
              </w:rPr>
              <w:t>341,79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Education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Zdravotníctvo a sociálna pomoc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196,23</w:t>
            </w:r>
          </w:p>
        </w:tc>
        <w:tc>
          <w:tcPr>
            <w:tcW w:w="700" w:type="dxa"/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204,20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1 853,65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1 924,86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Human health and social work activities</w:t>
            </w:r>
          </w:p>
        </w:tc>
      </w:tr>
      <w:tr w:rsidR="00711670" w:rsidRPr="00711670" w:rsidTr="00EF3B96">
        <w:tblPrEx>
          <w:tblCellMar>
            <w:left w:w="28" w:type="dxa"/>
            <w:right w:w="28" w:type="dxa"/>
          </w:tblCellMar>
        </w:tblPrEx>
        <w:tc>
          <w:tcPr>
            <w:tcW w:w="219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56" w:hanging="142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Umenie, zábava, rekreácia a ostatné činnosti</w:t>
            </w:r>
          </w:p>
        </w:tc>
        <w:tc>
          <w:tcPr>
            <w:tcW w:w="72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C61254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116,77</w:t>
            </w:r>
          </w:p>
        </w:tc>
        <w:tc>
          <w:tcPr>
            <w:tcW w:w="700" w:type="dxa"/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83,76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3 560,58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514FCF" w:rsidRPr="00711670" w:rsidRDefault="00AF3D3E" w:rsidP="00EF3B96">
            <w:pPr>
              <w:spacing w:line="190" w:lineRule="atLeast"/>
              <w:ind w:right="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3 669,50</w:t>
            </w:r>
          </w:p>
        </w:tc>
        <w:tc>
          <w:tcPr>
            <w:tcW w:w="2468" w:type="dxa"/>
            <w:vAlign w:val="bottom"/>
          </w:tcPr>
          <w:p w:rsidR="00514FCF" w:rsidRPr="00711670" w:rsidRDefault="00514FCF" w:rsidP="00EF3B96">
            <w:pPr>
              <w:spacing w:line="190" w:lineRule="atLeast"/>
              <w:ind w:left="245" w:right="-57" w:hanging="141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711670">
              <w:rPr>
                <w:rFonts w:ascii="Arial Narrow" w:hAnsi="Arial Narrow"/>
                <w:color w:val="000000" w:themeColor="text1"/>
                <w:szCs w:val="16"/>
              </w:rPr>
              <w:t>Art</w:t>
            </w:r>
            <w:r w:rsidR="00A93F76" w:rsidRPr="00711670">
              <w:rPr>
                <w:rFonts w:ascii="Arial Narrow" w:hAnsi="Arial Narrow"/>
                <w:color w:val="000000" w:themeColor="text1"/>
                <w:szCs w:val="16"/>
              </w:rPr>
              <w:t>s, entertainment and recreation and other service</w:t>
            </w:r>
            <w:r w:rsidRPr="00711670">
              <w:rPr>
                <w:rFonts w:ascii="Arial Narrow" w:hAnsi="Arial Narrow"/>
                <w:color w:val="000000" w:themeColor="text1"/>
                <w:szCs w:val="16"/>
              </w:rPr>
              <w:t xml:space="preserve"> activities  </w:t>
            </w:r>
          </w:p>
        </w:tc>
      </w:tr>
    </w:tbl>
    <w:p w:rsidR="00514FCF" w:rsidRPr="00711670" w:rsidRDefault="00514FCF" w:rsidP="00514FC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spacing w:before="120"/>
        <w:rPr>
          <w:rFonts w:cs="Arial"/>
          <w:b w:val="0"/>
          <w:color w:val="000000" w:themeColor="text1"/>
          <w:sz w:val="14"/>
          <w:szCs w:val="14"/>
        </w:rPr>
      </w:pPr>
      <w:r w:rsidRPr="00711670"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 w:rsidRPr="00711670">
        <w:rPr>
          <w:rFonts w:cs="Arial"/>
          <w:color w:val="000000" w:themeColor="text1"/>
          <w:sz w:val="14"/>
          <w:szCs w:val="14"/>
          <w:vertAlign w:val="superscript"/>
        </w:rPr>
        <w:t xml:space="preserve"> </w:t>
      </w:r>
      <w:r w:rsidRPr="00711670">
        <w:rPr>
          <w:rFonts w:cs="Arial"/>
          <w:b w:val="0"/>
          <w:color w:val="000000" w:themeColor="text1"/>
          <w:sz w:val="14"/>
          <w:szCs w:val="14"/>
        </w:rPr>
        <w:t xml:space="preserve">predbežné údaje </w:t>
      </w:r>
      <w:r w:rsidRPr="00711670">
        <w:rPr>
          <w:rFonts w:cs="Arial"/>
          <w:b w:val="0"/>
          <w:color w:val="000000" w:themeColor="text1"/>
          <w:sz w:val="14"/>
          <w:szCs w:val="14"/>
        </w:rPr>
        <w:tab/>
      </w:r>
      <w:r w:rsidRPr="00711670">
        <w:rPr>
          <w:rFonts w:cs="Arial"/>
          <w:b w:val="0"/>
          <w:color w:val="000000" w:themeColor="text1"/>
          <w:sz w:val="14"/>
          <w:szCs w:val="14"/>
          <w:vertAlign w:val="superscript"/>
        </w:rPr>
        <w:t xml:space="preserve">1) </w:t>
      </w:r>
      <w:r w:rsidRPr="00711670">
        <w:rPr>
          <w:rFonts w:cs="Arial"/>
          <w:b w:val="0"/>
          <w:color w:val="000000" w:themeColor="text1"/>
          <w:sz w:val="14"/>
          <w:szCs w:val="14"/>
        </w:rPr>
        <w:t>Preliminary data</w:t>
      </w:r>
    </w:p>
    <w:p w:rsidR="00514FCF" w:rsidRPr="00711670" w:rsidRDefault="00514FCF" w:rsidP="00514FCF">
      <w:pPr>
        <w:tabs>
          <w:tab w:val="right" w:pos="7711"/>
        </w:tabs>
        <w:ind w:right="-170"/>
        <w:rPr>
          <w:rFonts w:ascii="Arial Narrow" w:hAnsi="Arial Narrow" w:cs="Arial"/>
          <w:color w:val="000000" w:themeColor="text1"/>
          <w:lang w:val="en-AU"/>
        </w:rPr>
      </w:pPr>
    </w:p>
    <w:p w:rsidR="00D748DD" w:rsidRPr="00711670" w:rsidRDefault="00B52DCC" w:rsidP="00D748D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rPr>
          <w:color w:val="000000" w:themeColor="text1"/>
        </w:rPr>
      </w:pPr>
      <w:r w:rsidRPr="00711670">
        <w:rPr>
          <w:color w:val="000000" w:themeColor="text1"/>
        </w:rPr>
        <w:t xml:space="preserve">T </w:t>
      </w:r>
      <w:r w:rsidR="001B203C" w:rsidRPr="00711670">
        <w:rPr>
          <w:color w:val="000000" w:themeColor="text1"/>
        </w:rPr>
        <w:t>25</w:t>
      </w:r>
      <w:r w:rsidR="00D748DD" w:rsidRPr="00711670">
        <w:rPr>
          <w:b w:val="0"/>
          <w:bCs/>
          <w:color w:val="000000" w:themeColor="text1"/>
        </w:rPr>
        <w:t>–</w:t>
      </w:r>
      <w:r w:rsidR="00D27882" w:rsidRPr="00711670">
        <w:rPr>
          <w:b w:val="0"/>
          <w:color w:val="000000" w:themeColor="text1"/>
        </w:rPr>
        <w:t>3</w:t>
      </w:r>
      <w:r w:rsidR="00D748DD" w:rsidRPr="00711670">
        <w:rPr>
          <w:b w:val="0"/>
          <w:bCs/>
          <w:color w:val="000000" w:themeColor="text1"/>
        </w:rPr>
        <w:t>.</w:t>
      </w:r>
      <w:r w:rsidR="00D748DD" w:rsidRPr="00711670">
        <w:rPr>
          <w:b w:val="0"/>
          <w:bCs/>
          <w:color w:val="000000" w:themeColor="text1"/>
        </w:rPr>
        <w:tab/>
      </w:r>
      <w:r w:rsidR="00D748DD" w:rsidRPr="00711670">
        <w:rPr>
          <w:color w:val="000000" w:themeColor="text1"/>
        </w:rPr>
        <w:t>Vybrané finančné ukazovatele finančných korporácií</w:t>
      </w:r>
    </w:p>
    <w:p w:rsidR="00D748DD" w:rsidRPr="00711670" w:rsidRDefault="00D748DD" w:rsidP="00F41945">
      <w:pPr>
        <w:tabs>
          <w:tab w:val="clear" w:pos="680"/>
          <w:tab w:val="left" w:pos="709"/>
        </w:tabs>
        <w:spacing w:line="240" w:lineRule="auto"/>
        <w:ind w:left="0" w:firstLine="0"/>
        <w:rPr>
          <w:rFonts w:cs="Arial"/>
          <w:color w:val="000000" w:themeColor="text1"/>
          <w:sz w:val="18"/>
          <w:vertAlign w:val="superscript"/>
          <w:lang w:val="en-AU"/>
        </w:rPr>
      </w:pPr>
      <w:r w:rsidRPr="00711670">
        <w:rPr>
          <w:rFonts w:cs="Arial"/>
          <w:color w:val="000000" w:themeColor="text1"/>
          <w:sz w:val="18"/>
          <w:lang w:val="en-AU"/>
        </w:rPr>
        <w:tab/>
        <w:t>Selected financial indicators of financial corporations</w:t>
      </w:r>
    </w:p>
    <w:p w:rsidR="00D748DD" w:rsidRPr="00711670" w:rsidRDefault="00D748DD" w:rsidP="00CF5EDC">
      <w:pPr>
        <w:tabs>
          <w:tab w:val="right" w:pos="7711"/>
        </w:tabs>
        <w:spacing w:line="240" w:lineRule="auto"/>
        <w:ind w:right="-170"/>
        <w:rPr>
          <w:rFonts w:cs="Arial"/>
          <w:color w:val="000000" w:themeColor="text1"/>
          <w:sz w:val="18"/>
          <w:szCs w:val="18"/>
          <w:lang w:val="en-AU"/>
        </w:rPr>
      </w:pPr>
    </w:p>
    <w:p w:rsidR="00D748DD" w:rsidRPr="00711670" w:rsidRDefault="00D748DD" w:rsidP="00886E16">
      <w:pPr>
        <w:pStyle w:val="pravy-lavy"/>
        <w:ind w:left="170"/>
        <w:rPr>
          <w:color w:val="000000" w:themeColor="text1"/>
        </w:rPr>
      </w:pPr>
      <w:r w:rsidRPr="00711670">
        <w:rPr>
          <w:color w:val="000000" w:themeColor="text1"/>
          <w:lang w:val="de-DE"/>
        </w:rPr>
        <w:t>v mil. E</w:t>
      </w:r>
      <w:r w:rsidR="00250168" w:rsidRPr="00711670">
        <w:rPr>
          <w:color w:val="000000" w:themeColor="text1"/>
          <w:lang w:val="de-DE"/>
        </w:rPr>
        <w:t>UR</w:t>
      </w:r>
      <w:r w:rsidR="00313DF6" w:rsidRPr="00711670">
        <w:rPr>
          <w:color w:val="000000" w:themeColor="text1"/>
          <w:lang w:val="de-DE"/>
        </w:rPr>
        <w:t xml:space="preserve"> </w:t>
      </w:r>
      <w:r w:rsidR="00313DF6" w:rsidRPr="00711670">
        <w:rPr>
          <w:color w:val="000000" w:themeColor="text1"/>
          <w:lang w:val="de-DE"/>
        </w:rPr>
        <w:tab/>
      </w:r>
      <w:r w:rsidRPr="00711670">
        <w:rPr>
          <w:color w:val="000000" w:themeColor="text1"/>
        </w:rPr>
        <w:t>EUR</w:t>
      </w:r>
      <w:r w:rsidR="00313DF6" w:rsidRPr="00711670">
        <w:rPr>
          <w:color w:val="000000" w:themeColor="text1"/>
        </w:rPr>
        <w:t xml:space="preserve"> million</w:t>
      </w:r>
    </w:p>
    <w:tbl>
      <w:tblPr>
        <w:tblpPr w:leftFromText="141" w:rightFromText="141" w:vertAnchor="text" w:tblpX="112" w:tblpY="1"/>
        <w:tblOverlap w:val="never"/>
        <w:tblW w:w="7671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8"/>
        <w:gridCol w:w="825"/>
        <w:gridCol w:w="825"/>
        <w:gridCol w:w="825"/>
        <w:gridCol w:w="825"/>
        <w:gridCol w:w="826"/>
        <w:gridCol w:w="1667"/>
      </w:tblGrid>
      <w:tr w:rsidR="00131CFF" w:rsidRPr="00711670" w:rsidTr="00DC2F9A">
        <w:tc>
          <w:tcPr>
            <w:tcW w:w="1878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Ukazovateľ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2015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2016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2017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82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120" w:after="120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201</w:t>
            </w:r>
            <w:r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131CFF" w:rsidRPr="00711670" w:rsidRDefault="00131CFF" w:rsidP="00131CFF">
            <w:pPr>
              <w:spacing w:before="120" w:after="120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Indicator</w:t>
            </w:r>
          </w:p>
        </w:tc>
      </w:tr>
      <w:tr w:rsidR="00131CFF" w:rsidRPr="00711670">
        <w:trPr>
          <w:cantSplit/>
        </w:trPr>
        <w:tc>
          <w:tcPr>
            <w:tcW w:w="1878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40" w:line="240" w:lineRule="exact"/>
              <w:ind w:left="56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Finančný sektor</w:t>
            </w:r>
          </w:p>
          <w:p w:rsidR="00131CFF" w:rsidRPr="00711670" w:rsidRDefault="00131CFF" w:rsidP="00131CFF">
            <w:pPr>
              <w:spacing w:after="40" w:line="240" w:lineRule="exact"/>
              <w:ind w:left="56"/>
              <w:jc w:val="center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Financial sector</w:t>
            </w:r>
          </w:p>
        </w:tc>
        <w:tc>
          <w:tcPr>
            <w:tcW w:w="1667" w:type="dxa"/>
            <w:tcBorders>
              <w:top w:val="single" w:sz="12" w:space="0" w:color="auto"/>
              <w:left w:val="single" w:sz="8" w:space="0" w:color="auto"/>
              <w:bottom w:val="nil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rPr>
          <w:cantSplit/>
        </w:trPr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ind w:left="57"/>
              <w:jc w:val="center"/>
              <w:rPr>
                <w:rFonts w:cs="Arial"/>
                <w:color w:val="000000" w:themeColor="text1"/>
                <w:lang w:val="en-AU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 w:rsidTr="00DC2F9A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Náklady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21 305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17 965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17 465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20 622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20 275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Costs</w:t>
            </w:r>
          </w:p>
        </w:tc>
      </w:tr>
      <w:tr w:rsidR="00131CFF" w:rsidRPr="00711670" w:rsidTr="00DC2F9A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Výnosy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22 468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19 974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19 196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21 692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23 021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Revenues</w:t>
            </w:r>
          </w:p>
        </w:tc>
      </w:tr>
      <w:tr w:rsidR="00131CFF" w:rsidRPr="00711670" w:rsidTr="00DC2F9A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Výsledok hospodárenia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1 163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2 009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1 731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1 070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2 746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Profit / Loss</w:t>
            </w:r>
          </w:p>
        </w:tc>
      </w:tr>
      <w:tr w:rsidR="00131CFF" w:rsidRPr="00711670" w:rsidTr="00DC2F9A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Záväzky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66 427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68 453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91 717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101 901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right="57"/>
              <w:jc w:val="right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105 212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Liabilities</w:t>
            </w:r>
          </w:p>
        </w:tc>
      </w:tr>
      <w:tr w:rsidR="00131CFF" w:rsidRPr="00711670">
        <w:trPr>
          <w:cantSplit/>
        </w:trPr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before="40" w:line="240" w:lineRule="exact"/>
              <w:ind w:left="56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Peňažníctvo</w:t>
            </w:r>
          </w:p>
          <w:p w:rsidR="00131CFF" w:rsidRPr="00711670" w:rsidRDefault="00131CFF" w:rsidP="00131CFF">
            <w:pPr>
              <w:spacing w:after="40" w:line="240" w:lineRule="exact"/>
              <w:ind w:left="56"/>
              <w:jc w:val="center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Banking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rPr>
          <w:cantSplit/>
        </w:trPr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CFF" w:rsidRPr="00711670" w:rsidRDefault="00131CFF" w:rsidP="00131CFF">
            <w:pPr>
              <w:spacing w:line="240" w:lineRule="exact"/>
              <w:ind w:left="57"/>
              <w:jc w:val="center"/>
              <w:rPr>
                <w:rFonts w:cs="Arial"/>
                <w:color w:val="000000" w:themeColor="text1"/>
                <w:lang w:val="en-AU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Náklady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10 486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8 192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7 233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8 510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7 631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Costs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Výnosy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11 314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9 325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8 184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9 540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8 669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Revenues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Výsledok hospodárenia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828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1 133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951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1 030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1 038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Profit / Loss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Záväzky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64 768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66 868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90 095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100 292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103 668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Liabilities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412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40" w:line="240" w:lineRule="exact"/>
              <w:ind w:left="56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Nebankové finančné inštitúcie</w:t>
            </w:r>
          </w:p>
          <w:p w:rsidR="00131CFF" w:rsidRPr="00711670" w:rsidRDefault="00131CFF" w:rsidP="00131CFF">
            <w:pPr>
              <w:spacing w:after="40" w:line="240" w:lineRule="exact"/>
              <w:ind w:left="56"/>
              <w:jc w:val="center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Non-banking financial institutions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ind w:left="57"/>
              <w:jc w:val="center"/>
              <w:rPr>
                <w:rFonts w:cs="Arial"/>
                <w:color w:val="000000" w:themeColor="text1"/>
                <w:lang w:val="en-AU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blPrEx>
          <w:tblCellMar>
            <w:left w:w="70" w:type="dxa"/>
            <w:right w:w="70" w:type="dxa"/>
          </w:tblCellMar>
        </w:tblPrEx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Náklady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3 817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2 897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3 182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3 982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3 805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Costs</w:t>
            </w:r>
          </w:p>
        </w:tc>
      </w:tr>
      <w:tr w:rsidR="00131CFF" w:rsidRPr="00711670">
        <w:tblPrEx>
          <w:tblCellMar>
            <w:left w:w="70" w:type="dxa"/>
            <w:right w:w="70" w:type="dxa"/>
          </w:tblCellMar>
        </w:tblPrEx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Výnosy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3 895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3 196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3 434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3 956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4 430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Revenues</w:t>
            </w:r>
          </w:p>
        </w:tc>
      </w:tr>
      <w:tr w:rsidR="00131CFF" w:rsidRPr="00711670">
        <w:tblPrEx>
          <w:tblCellMar>
            <w:left w:w="70" w:type="dxa"/>
            <w:right w:w="70" w:type="dxa"/>
          </w:tblCellMar>
        </w:tblPrEx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Výsledok hospodárenia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299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252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D842C6">
              <w:rPr>
                <w:bCs/>
                <w:color w:val="000000" w:themeColor="text1"/>
                <w:szCs w:val="16"/>
              </w:rPr>
              <w:t>–</w:t>
            </w:r>
            <w:r>
              <w:rPr>
                <w:rFonts w:cs="Arial"/>
                <w:color w:val="000000" w:themeColor="text1"/>
                <w:lang w:val="en-AU"/>
              </w:rPr>
              <w:t>26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625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Profit / Loss</w:t>
            </w:r>
          </w:p>
        </w:tc>
      </w:tr>
      <w:tr w:rsidR="00131CFF" w:rsidRPr="00711670">
        <w:tblPrEx>
          <w:tblCellMar>
            <w:left w:w="70" w:type="dxa"/>
            <w:right w:w="70" w:type="dxa"/>
          </w:tblCellMar>
        </w:tblPrEx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Záväzky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1 053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946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928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761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507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Liabilities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40" w:line="240" w:lineRule="exact"/>
              <w:ind w:left="56"/>
              <w:jc w:val="center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Poisťovníctvo</w:t>
            </w:r>
          </w:p>
          <w:p w:rsidR="00131CFF" w:rsidRPr="00711670" w:rsidRDefault="00131CFF" w:rsidP="00131CFF">
            <w:pPr>
              <w:spacing w:after="40" w:line="240" w:lineRule="exact"/>
              <w:ind w:left="56"/>
              <w:jc w:val="center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Insurance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</w:rPr>
            </w:pPr>
          </w:p>
        </w:tc>
        <w:tc>
          <w:tcPr>
            <w:tcW w:w="4126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ind w:left="57"/>
              <w:jc w:val="center"/>
              <w:rPr>
                <w:rFonts w:cs="Arial"/>
                <w:color w:val="000000" w:themeColor="text1"/>
                <w:lang w:val="en-AU"/>
              </w:rPr>
            </w:pP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line="240" w:lineRule="exact"/>
              <w:rPr>
                <w:rFonts w:cs="Arial"/>
                <w:color w:val="000000" w:themeColor="text1"/>
                <w:lang w:val="en-AU"/>
              </w:rPr>
            </w:pP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Náklady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7 003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6 876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7 050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8 130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8 839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Costs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Výnosy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7 259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7 453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7 578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8 196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9 922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Revenues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Výsledok hospodárenia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256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577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528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66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1 083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36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Profit / Loss</w:t>
            </w:r>
          </w:p>
        </w:tc>
      </w:tr>
      <w:tr w:rsidR="00131CFF" w:rsidRPr="00711670">
        <w:tc>
          <w:tcPr>
            <w:tcW w:w="1878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rPr>
                <w:rFonts w:cs="Arial"/>
                <w:color w:val="000000" w:themeColor="text1"/>
              </w:rPr>
            </w:pPr>
            <w:r w:rsidRPr="00711670">
              <w:rPr>
                <w:rFonts w:cs="Arial"/>
                <w:color w:val="000000" w:themeColor="text1"/>
              </w:rPr>
              <w:t>Záväzky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606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639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694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848</w:t>
            </w:r>
          </w:p>
        </w:tc>
        <w:tc>
          <w:tcPr>
            <w:tcW w:w="8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ind w:left="56" w:right="57"/>
              <w:jc w:val="right"/>
              <w:rPr>
                <w:rFonts w:cs="Arial"/>
                <w:color w:val="000000" w:themeColor="text1"/>
                <w:lang w:val="en-AU"/>
              </w:rPr>
            </w:pPr>
            <w:r>
              <w:rPr>
                <w:rFonts w:cs="Arial"/>
                <w:color w:val="000000" w:themeColor="text1"/>
                <w:lang w:val="en-AU"/>
              </w:rPr>
              <w:t>1 037</w:t>
            </w:r>
          </w:p>
        </w:tc>
        <w:tc>
          <w:tcPr>
            <w:tcW w:w="1667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131CFF" w:rsidRPr="00711670" w:rsidRDefault="00131CFF" w:rsidP="00131CFF">
            <w:pPr>
              <w:spacing w:before="60" w:line="240" w:lineRule="auto"/>
              <w:rPr>
                <w:rFonts w:cs="Arial"/>
                <w:color w:val="000000" w:themeColor="text1"/>
                <w:lang w:val="en-AU"/>
              </w:rPr>
            </w:pPr>
            <w:r w:rsidRPr="00711670">
              <w:rPr>
                <w:rFonts w:cs="Arial"/>
                <w:color w:val="000000" w:themeColor="text1"/>
                <w:lang w:val="en-AU"/>
              </w:rPr>
              <w:t>Liabilities</w:t>
            </w:r>
          </w:p>
        </w:tc>
      </w:tr>
    </w:tbl>
    <w:p w:rsidR="00BB43A4" w:rsidRPr="00711670" w:rsidRDefault="00BB43A4" w:rsidP="00AE368A">
      <w:pPr>
        <w:tabs>
          <w:tab w:val="clear" w:pos="680"/>
          <w:tab w:val="left" w:pos="709"/>
          <w:tab w:val="right" w:pos="7655"/>
        </w:tabs>
        <w:spacing w:line="240" w:lineRule="auto"/>
        <w:ind w:left="0" w:firstLine="0"/>
        <w:rPr>
          <w:color w:val="000000" w:themeColor="text1"/>
        </w:rPr>
      </w:pPr>
    </w:p>
    <w:sectPr w:rsidR="00BB43A4" w:rsidRPr="00711670" w:rsidSect="00556ED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9356" w:h="13211" w:code="142"/>
      <w:pgMar w:top="1134" w:right="851" w:bottom="1021" w:left="794" w:header="624" w:footer="397" w:gutter="0"/>
      <w:pgNumType w:start="47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F8" w:rsidRDefault="00AB05F8">
      <w:r>
        <w:separator/>
      </w:r>
    </w:p>
  </w:endnote>
  <w:endnote w:type="continuationSeparator" w:id="0">
    <w:p w:rsidR="00AB05F8" w:rsidRDefault="00AB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5A" w:rsidRDefault="00EA6E5A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556ED0">
      <w:rPr>
        <w:rStyle w:val="slostrany"/>
        <w:rFonts w:ascii="Arial" w:hAnsi="Arial"/>
      </w:rPr>
      <w:t>474</w:t>
    </w:r>
    <w:r>
      <w:rPr>
        <w:rStyle w:val="slostrany"/>
        <w:rFonts w:ascii="Arial" w:hAnsi="Arial"/>
      </w:rPr>
      <w:fldChar w:fldCharType="end"/>
    </w:r>
  </w:p>
  <w:p w:rsidR="00EA6E5A" w:rsidRDefault="00EA6E5A">
    <w:pPr>
      <w:pStyle w:val="Pta"/>
      <w:widowControl/>
      <w:ind w:left="0"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5A" w:rsidRDefault="00EA6E5A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AB05F8">
      <w:rPr>
        <w:rStyle w:val="slostrany"/>
        <w:rFonts w:ascii="Arial" w:hAnsi="Arial"/>
      </w:rPr>
      <w:t>473</w:t>
    </w:r>
    <w:r>
      <w:rPr>
        <w:rStyle w:val="slostrany"/>
        <w:rFonts w:ascii="Arial" w:hAnsi="Arial"/>
      </w:rPr>
      <w:fldChar w:fldCharType="end"/>
    </w:r>
  </w:p>
  <w:p w:rsidR="00EA6E5A" w:rsidRDefault="00EA6E5A" w:rsidP="00CF06C7">
    <w:pPr>
      <w:pStyle w:val="Pta"/>
      <w:widowControl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F8" w:rsidRDefault="00AB05F8">
      <w:r>
        <w:separator/>
      </w:r>
    </w:p>
  </w:footnote>
  <w:footnote w:type="continuationSeparator" w:id="0">
    <w:p w:rsidR="00AB05F8" w:rsidRDefault="00AB0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5A" w:rsidRDefault="00EA6E5A" w:rsidP="008668D4">
    <w:pPr>
      <w:pStyle w:val="Hlavika"/>
      <w:tabs>
        <w:tab w:val="clear" w:pos="680"/>
      </w:tabs>
    </w:pPr>
    <w:r>
      <w:t>HOSPODÁRENIE NEFINANČNÝCH </w:t>
    </w:r>
    <w:r>
      <w:tab/>
      <w:t>MANAGEMENT OF NON-FINANCIAL</w:t>
    </w:r>
  </w:p>
  <w:p w:rsidR="00EA6E5A" w:rsidRPr="00FB1998" w:rsidRDefault="00EA6E5A" w:rsidP="008668D4">
    <w:pPr>
      <w:pStyle w:val="Hlavika"/>
      <w:tabs>
        <w:tab w:val="clear" w:pos="680"/>
      </w:tabs>
    </w:pPr>
    <w:r>
      <w:t xml:space="preserve">A FINANČNÝCH KORPORÁCIÍ </w:t>
    </w:r>
    <w:r>
      <w:tab/>
    </w:r>
    <w:smartTag w:uri="urn:schemas-microsoft-com:office:smarttags" w:element="stockticker">
      <w:r>
        <w:t>AND</w:t>
      </w:r>
    </w:smartTag>
    <w:r>
      <w:t xml:space="preserve"> FINANCIAL CORPORATIONS</w:t>
    </w:r>
  </w:p>
  <w:p w:rsidR="00EA6E5A" w:rsidRPr="00D30337" w:rsidRDefault="00EA6E5A" w:rsidP="00D3033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5A" w:rsidRDefault="00EA6E5A" w:rsidP="008668D4">
    <w:pPr>
      <w:pStyle w:val="Hlavika"/>
      <w:tabs>
        <w:tab w:val="clear" w:pos="680"/>
      </w:tabs>
    </w:pPr>
    <w:r>
      <w:t>HOSPODÁRENIE NEFINANČNÝCH </w:t>
    </w:r>
    <w:r>
      <w:tab/>
      <w:t>MANAGEMENT OF NON-FINANCIAL</w:t>
    </w:r>
  </w:p>
  <w:p w:rsidR="00EA6E5A" w:rsidRDefault="00EA6E5A" w:rsidP="008668D4">
    <w:pPr>
      <w:pStyle w:val="Hlavika"/>
      <w:tabs>
        <w:tab w:val="clear" w:pos="680"/>
      </w:tabs>
    </w:pPr>
    <w:r>
      <w:t xml:space="preserve">A FINANČNÝCH KORPORÁCIÍ </w:t>
    </w:r>
    <w:r>
      <w:tab/>
    </w:r>
    <w:smartTag w:uri="urn:schemas-microsoft-com:office:smarttags" w:element="stockticker">
      <w:r>
        <w:t>AND</w:t>
      </w:r>
    </w:smartTag>
    <w:r>
      <w:t xml:space="preserve"> FINANCIAL CORPORATIONS</w:t>
    </w:r>
  </w:p>
  <w:p w:rsidR="00EA6E5A" w:rsidRPr="00FB1998" w:rsidRDefault="00EA6E5A" w:rsidP="008668D4">
    <w:pPr>
      <w:pStyle w:val="Hlavika"/>
      <w:tabs>
        <w:tab w:val="clear" w:pos="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C5"/>
    <w:rsid w:val="0001058B"/>
    <w:rsid w:val="00012686"/>
    <w:rsid w:val="00017252"/>
    <w:rsid w:val="00020F1B"/>
    <w:rsid w:val="00023227"/>
    <w:rsid w:val="0003045F"/>
    <w:rsid w:val="00030CB1"/>
    <w:rsid w:val="0003146B"/>
    <w:rsid w:val="00032456"/>
    <w:rsid w:val="00032715"/>
    <w:rsid w:val="0003476B"/>
    <w:rsid w:val="00034E92"/>
    <w:rsid w:val="00043964"/>
    <w:rsid w:val="00050CF8"/>
    <w:rsid w:val="00051ABC"/>
    <w:rsid w:val="00052D09"/>
    <w:rsid w:val="000530F5"/>
    <w:rsid w:val="00062258"/>
    <w:rsid w:val="00062E68"/>
    <w:rsid w:val="00063D10"/>
    <w:rsid w:val="00065689"/>
    <w:rsid w:val="00070194"/>
    <w:rsid w:val="00070977"/>
    <w:rsid w:val="00073127"/>
    <w:rsid w:val="0007506F"/>
    <w:rsid w:val="00075E9C"/>
    <w:rsid w:val="000773BE"/>
    <w:rsid w:val="00080461"/>
    <w:rsid w:val="00082325"/>
    <w:rsid w:val="00082F11"/>
    <w:rsid w:val="00087052"/>
    <w:rsid w:val="00091D73"/>
    <w:rsid w:val="000A35E8"/>
    <w:rsid w:val="000A4A3E"/>
    <w:rsid w:val="000A7649"/>
    <w:rsid w:val="000B0E23"/>
    <w:rsid w:val="000B4EC5"/>
    <w:rsid w:val="000B6508"/>
    <w:rsid w:val="000B7BF1"/>
    <w:rsid w:val="000C1917"/>
    <w:rsid w:val="000C44DB"/>
    <w:rsid w:val="000E28F6"/>
    <w:rsid w:val="000E36D3"/>
    <w:rsid w:val="000E553E"/>
    <w:rsid w:val="000F01F6"/>
    <w:rsid w:val="00106D29"/>
    <w:rsid w:val="001153E6"/>
    <w:rsid w:val="00117EF2"/>
    <w:rsid w:val="00131CFF"/>
    <w:rsid w:val="00133E13"/>
    <w:rsid w:val="00134275"/>
    <w:rsid w:val="0014046C"/>
    <w:rsid w:val="0014074A"/>
    <w:rsid w:val="00142D13"/>
    <w:rsid w:val="00144717"/>
    <w:rsid w:val="0015180C"/>
    <w:rsid w:val="00151F6C"/>
    <w:rsid w:val="0015570A"/>
    <w:rsid w:val="00156731"/>
    <w:rsid w:val="00161203"/>
    <w:rsid w:val="00162F4E"/>
    <w:rsid w:val="00164057"/>
    <w:rsid w:val="00165E66"/>
    <w:rsid w:val="00166868"/>
    <w:rsid w:val="00166EF3"/>
    <w:rsid w:val="00167225"/>
    <w:rsid w:val="00177F47"/>
    <w:rsid w:val="001817E5"/>
    <w:rsid w:val="0018353B"/>
    <w:rsid w:val="00184162"/>
    <w:rsid w:val="00187818"/>
    <w:rsid w:val="00190874"/>
    <w:rsid w:val="001910E1"/>
    <w:rsid w:val="00192F00"/>
    <w:rsid w:val="00194C5D"/>
    <w:rsid w:val="00196085"/>
    <w:rsid w:val="001A16A8"/>
    <w:rsid w:val="001A644B"/>
    <w:rsid w:val="001B104D"/>
    <w:rsid w:val="001B203C"/>
    <w:rsid w:val="001B496F"/>
    <w:rsid w:val="001B4C8F"/>
    <w:rsid w:val="001C241C"/>
    <w:rsid w:val="001C7330"/>
    <w:rsid w:val="001C74A0"/>
    <w:rsid w:val="001D6902"/>
    <w:rsid w:val="001D6DF5"/>
    <w:rsid w:val="001D72B1"/>
    <w:rsid w:val="001E2679"/>
    <w:rsid w:val="001E35F8"/>
    <w:rsid w:val="001E42E9"/>
    <w:rsid w:val="001E503F"/>
    <w:rsid w:val="001E5832"/>
    <w:rsid w:val="001E5A01"/>
    <w:rsid w:val="001E6527"/>
    <w:rsid w:val="001F02A4"/>
    <w:rsid w:val="001F141D"/>
    <w:rsid w:val="001F45A1"/>
    <w:rsid w:val="001F4D3B"/>
    <w:rsid w:val="00201D76"/>
    <w:rsid w:val="00203A94"/>
    <w:rsid w:val="0020746D"/>
    <w:rsid w:val="00215C23"/>
    <w:rsid w:val="002241D4"/>
    <w:rsid w:val="00226B12"/>
    <w:rsid w:val="0023181E"/>
    <w:rsid w:val="00231AEC"/>
    <w:rsid w:val="0023284A"/>
    <w:rsid w:val="0023311A"/>
    <w:rsid w:val="00234006"/>
    <w:rsid w:val="00234F29"/>
    <w:rsid w:val="00235C11"/>
    <w:rsid w:val="002470B4"/>
    <w:rsid w:val="00250168"/>
    <w:rsid w:val="0025065A"/>
    <w:rsid w:val="00250C90"/>
    <w:rsid w:val="00251ABA"/>
    <w:rsid w:val="00252C3A"/>
    <w:rsid w:val="00253ED4"/>
    <w:rsid w:val="0025453C"/>
    <w:rsid w:val="00264487"/>
    <w:rsid w:val="002713BC"/>
    <w:rsid w:val="0027519B"/>
    <w:rsid w:val="00282310"/>
    <w:rsid w:val="00286BB5"/>
    <w:rsid w:val="002A5BC9"/>
    <w:rsid w:val="002B0C54"/>
    <w:rsid w:val="002B34EA"/>
    <w:rsid w:val="002B6CC8"/>
    <w:rsid w:val="002C1948"/>
    <w:rsid w:val="002C48DF"/>
    <w:rsid w:val="002D0B0B"/>
    <w:rsid w:val="002D134F"/>
    <w:rsid w:val="002D3833"/>
    <w:rsid w:val="002D627A"/>
    <w:rsid w:val="002E1078"/>
    <w:rsid w:val="002E28EC"/>
    <w:rsid w:val="002E2BF9"/>
    <w:rsid w:val="002E61F7"/>
    <w:rsid w:val="002E6950"/>
    <w:rsid w:val="002F0C66"/>
    <w:rsid w:val="002F1541"/>
    <w:rsid w:val="002F3DE8"/>
    <w:rsid w:val="002F5353"/>
    <w:rsid w:val="002F7FD6"/>
    <w:rsid w:val="0030232F"/>
    <w:rsid w:val="00312B6E"/>
    <w:rsid w:val="00313DF6"/>
    <w:rsid w:val="00316FAE"/>
    <w:rsid w:val="003212DF"/>
    <w:rsid w:val="003213EF"/>
    <w:rsid w:val="00323F48"/>
    <w:rsid w:val="003340AF"/>
    <w:rsid w:val="00344E6D"/>
    <w:rsid w:val="00345C36"/>
    <w:rsid w:val="00347569"/>
    <w:rsid w:val="003529AA"/>
    <w:rsid w:val="00354973"/>
    <w:rsid w:val="00355E9B"/>
    <w:rsid w:val="003616A5"/>
    <w:rsid w:val="00363A2E"/>
    <w:rsid w:val="00374671"/>
    <w:rsid w:val="0037521B"/>
    <w:rsid w:val="003762E0"/>
    <w:rsid w:val="00376BD0"/>
    <w:rsid w:val="00383ED0"/>
    <w:rsid w:val="003843B2"/>
    <w:rsid w:val="00390741"/>
    <w:rsid w:val="00394249"/>
    <w:rsid w:val="003942E7"/>
    <w:rsid w:val="00395450"/>
    <w:rsid w:val="0039616B"/>
    <w:rsid w:val="00396F5D"/>
    <w:rsid w:val="003A36CB"/>
    <w:rsid w:val="003B119D"/>
    <w:rsid w:val="003B123C"/>
    <w:rsid w:val="003B6B2B"/>
    <w:rsid w:val="003C28A2"/>
    <w:rsid w:val="003C4D2A"/>
    <w:rsid w:val="003C595B"/>
    <w:rsid w:val="003D040E"/>
    <w:rsid w:val="003D1D27"/>
    <w:rsid w:val="003E0593"/>
    <w:rsid w:val="003F333E"/>
    <w:rsid w:val="003F6AF9"/>
    <w:rsid w:val="003F705A"/>
    <w:rsid w:val="00400F3D"/>
    <w:rsid w:val="00400F54"/>
    <w:rsid w:val="00411039"/>
    <w:rsid w:val="0041478F"/>
    <w:rsid w:val="00417D00"/>
    <w:rsid w:val="004208A6"/>
    <w:rsid w:val="00426311"/>
    <w:rsid w:val="0042681E"/>
    <w:rsid w:val="0043166E"/>
    <w:rsid w:val="004330ED"/>
    <w:rsid w:val="00433F98"/>
    <w:rsid w:val="004424EB"/>
    <w:rsid w:val="00442F11"/>
    <w:rsid w:val="0044478F"/>
    <w:rsid w:val="00445949"/>
    <w:rsid w:val="00447474"/>
    <w:rsid w:val="0044755E"/>
    <w:rsid w:val="0044792A"/>
    <w:rsid w:val="004515AC"/>
    <w:rsid w:val="00454FF0"/>
    <w:rsid w:val="0045671E"/>
    <w:rsid w:val="0045746E"/>
    <w:rsid w:val="004574C3"/>
    <w:rsid w:val="00464C0E"/>
    <w:rsid w:val="004658D0"/>
    <w:rsid w:val="00467924"/>
    <w:rsid w:val="00470413"/>
    <w:rsid w:val="00471B3A"/>
    <w:rsid w:val="004739F2"/>
    <w:rsid w:val="00480F27"/>
    <w:rsid w:val="0048431C"/>
    <w:rsid w:val="004852EB"/>
    <w:rsid w:val="0049044F"/>
    <w:rsid w:val="00490CF5"/>
    <w:rsid w:val="004921AB"/>
    <w:rsid w:val="00493D80"/>
    <w:rsid w:val="004A12DB"/>
    <w:rsid w:val="004A5A2B"/>
    <w:rsid w:val="004B05D5"/>
    <w:rsid w:val="004B1E34"/>
    <w:rsid w:val="004B31C4"/>
    <w:rsid w:val="004B3549"/>
    <w:rsid w:val="004B481E"/>
    <w:rsid w:val="004B581D"/>
    <w:rsid w:val="004B7B1B"/>
    <w:rsid w:val="004C2FF0"/>
    <w:rsid w:val="004C389F"/>
    <w:rsid w:val="004C4FBA"/>
    <w:rsid w:val="004C5C2D"/>
    <w:rsid w:val="004C663A"/>
    <w:rsid w:val="004C7E5D"/>
    <w:rsid w:val="004D011E"/>
    <w:rsid w:val="004D63DC"/>
    <w:rsid w:val="004D7380"/>
    <w:rsid w:val="004E3942"/>
    <w:rsid w:val="004E4A8B"/>
    <w:rsid w:val="004F15B3"/>
    <w:rsid w:val="004F2842"/>
    <w:rsid w:val="00502ACF"/>
    <w:rsid w:val="00505659"/>
    <w:rsid w:val="005056EF"/>
    <w:rsid w:val="00510543"/>
    <w:rsid w:val="00510B97"/>
    <w:rsid w:val="005112D7"/>
    <w:rsid w:val="005115DD"/>
    <w:rsid w:val="005144AC"/>
    <w:rsid w:val="00514FCF"/>
    <w:rsid w:val="00520F16"/>
    <w:rsid w:val="0052259F"/>
    <w:rsid w:val="00522692"/>
    <w:rsid w:val="00533E28"/>
    <w:rsid w:val="00535C32"/>
    <w:rsid w:val="00536AC3"/>
    <w:rsid w:val="00536BA2"/>
    <w:rsid w:val="005420B7"/>
    <w:rsid w:val="005449A1"/>
    <w:rsid w:val="00544C73"/>
    <w:rsid w:val="00545EBE"/>
    <w:rsid w:val="005460B8"/>
    <w:rsid w:val="0054760B"/>
    <w:rsid w:val="0054783B"/>
    <w:rsid w:val="00554B44"/>
    <w:rsid w:val="00556030"/>
    <w:rsid w:val="00556ED0"/>
    <w:rsid w:val="00560D41"/>
    <w:rsid w:val="00562764"/>
    <w:rsid w:val="00563AD6"/>
    <w:rsid w:val="00564720"/>
    <w:rsid w:val="0056475C"/>
    <w:rsid w:val="00564C47"/>
    <w:rsid w:val="00564D14"/>
    <w:rsid w:val="00567D36"/>
    <w:rsid w:val="00571D85"/>
    <w:rsid w:val="0057271A"/>
    <w:rsid w:val="005740A1"/>
    <w:rsid w:val="0057424A"/>
    <w:rsid w:val="00574DD9"/>
    <w:rsid w:val="00580178"/>
    <w:rsid w:val="005805B4"/>
    <w:rsid w:val="0058263A"/>
    <w:rsid w:val="0058281E"/>
    <w:rsid w:val="00590E4A"/>
    <w:rsid w:val="00591D16"/>
    <w:rsid w:val="00596DE0"/>
    <w:rsid w:val="005A1589"/>
    <w:rsid w:val="005A2302"/>
    <w:rsid w:val="005A7554"/>
    <w:rsid w:val="005B07C7"/>
    <w:rsid w:val="005B0FAB"/>
    <w:rsid w:val="005B2226"/>
    <w:rsid w:val="005B6858"/>
    <w:rsid w:val="005C0C8E"/>
    <w:rsid w:val="005C3D6A"/>
    <w:rsid w:val="005C5A59"/>
    <w:rsid w:val="005C5D8D"/>
    <w:rsid w:val="005C611E"/>
    <w:rsid w:val="005C6250"/>
    <w:rsid w:val="005C664A"/>
    <w:rsid w:val="005C7E8A"/>
    <w:rsid w:val="005D211D"/>
    <w:rsid w:val="005D243D"/>
    <w:rsid w:val="005D3853"/>
    <w:rsid w:val="005D4B77"/>
    <w:rsid w:val="005E01E0"/>
    <w:rsid w:val="005E3817"/>
    <w:rsid w:val="005E4C14"/>
    <w:rsid w:val="005F0A8B"/>
    <w:rsid w:val="005F2CDE"/>
    <w:rsid w:val="005F342B"/>
    <w:rsid w:val="005F36E5"/>
    <w:rsid w:val="005F5905"/>
    <w:rsid w:val="00606A0B"/>
    <w:rsid w:val="00607717"/>
    <w:rsid w:val="00607B56"/>
    <w:rsid w:val="006143F9"/>
    <w:rsid w:val="0061622D"/>
    <w:rsid w:val="00617966"/>
    <w:rsid w:val="00620EB7"/>
    <w:rsid w:val="0062140D"/>
    <w:rsid w:val="006243E9"/>
    <w:rsid w:val="00627862"/>
    <w:rsid w:val="00630B81"/>
    <w:rsid w:val="00631873"/>
    <w:rsid w:val="00634209"/>
    <w:rsid w:val="0063529B"/>
    <w:rsid w:val="00637DDA"/>
    <w:rsid w:val="00652BA4"/>
    <w:rsid w:val="00654B6B"/>
    <w:rsid w:val="0065624E"/>
    <w:rsid w:val="00656995"/>
    <w:rsid w:val="0066742B"/>
    <w:rsid w:val="00671FD0"/>
    <w:rsid w:val="00673547"/>
    <w:rsid w:val="006805FD"/>
    <w:rsid w:val="006930FE"/>
    <w:rsid w:val="00693194"/>
    <w:rsid w:val="00693E32"/>
    <w:rsid w:val="006945F9"/>
    <w:rsid w:val="00696FE1"/>
    <w:rsid w:val="00697CCB"/>
    <w:rsid w:val="006A5C25"/>
    <w:rsid w:val="006A6262"/>
    <w:rsid w:val="006A7B31"/>
    <w:rsid w:val="006B127B"/>
    <w:rsid w:val="006B2CE0"/>
    <w:rsid w:val="006B3A58"/>
    <w:rsid w:val="006B58D4"/>
    <w:rsid w:val="006C075C"/>
    <w:rsid w:val="006C4201"/>
    <w:rsid w:val="006C5DCE"/>
    <w:rsid w:val="006C7CB1"/>
    <w:rsid w:val="006D11FB"/>
    <w:rsid w:val="006D666F"/>
    <w:rsid w:val="006F0438"/>
    <w:rsid w:val="006F0775"/>
    <w:rsid w:val="006F0DB9"/>
    <w:rsid w:val="006F189A"/>
    <w:rsid w:val="006F1C63"/>
    <w:rsid w:val="006F2221"/>
    <w:rsid w:val="006F4D0C"/>
    <w:rsid w:val="00701092"/>
    <w:rsid w:val="00701F03"/>
    <w:rsid w:val="007042F1"/>
    <w:rsid w:val="00705B53"/>
    <w:rsid w:val="00707822"/>
    <w:rsid w:val="007111A4"/>
    <w:rsid w:val="00711670"/>
    <w:rsid w:val="00711FD8"/>
    <w:rsid w:val="00713648"/>
    <w:rsid w:val="0071550A"/>
    <w:rsid w:val="00717A16"/>
    <w:rsid w:val="00717DA2"/>
    <w:rsid w:val="00720C70"/>
    <w:rsid w:val="0072495F"/>
    <w:rsid w:val="0072671F"/>
    <w:rsid w:val="007316D0"/>
    <w:rsid w:val="00732B38"/>
    <w:rsid w:val="00734868"/>
    <w:rsid w:val="00737B65"/>
    <w:rsid w:val="0074269D"/>
    <w:rsid w:val="0075045F"/>
    <w:rsid w:val="00757308"/>
    <w:rsid w:val="00762802"/>
    <w:rsid w:val="00762C0F"/>
    <w:rsid w:val="00764CB1"/>
    <w:rsid w:val="00766109"/>
    <w:rsid w:val="0077007C"/>
    <w:rsid w:val="007734DC"/>
    <w:rsid w:val="00777596"/>
    <w:rsid w:val="007810DB"/>
    <w:rsid w:val="00781D7C"/>
    <w:rsid w:val="0078287B"/>
    <w:rsid w:val="0078374E"/>
    <w:rsid w:val="0078537A"/>
    <w:rsid w:val="007945EA"/>
    <w:rsid w:val="00794E3E"/>
    <w:rsid w:val="007964A9"/>
    <w:rsid w:val="007A0822"/>
    <w:rsid w:val="007A4F26"/>
    <w:rsid w:val="007A521A"/>
    <w:rsid w:val="007B2CCB"/>
    <w:rsid w:val="007B59AE"/>
    <w:rsid w:val="007B6550"/>
    <w:rsid w:val="007C061A"/>
    <w:rsid w:val="007C141D"/>
    <w:rsid w:val="007C39FB"/>
    <w:rsid w:val="007C613E"/>
    <w:rsid w:val="007D234C"/>
    <w:rsid w:val="007D5481"/>
    <w:rsid w:val="007D759D"/>
    <w:rsid w:val="007D762F"/>
    <w:rsid w:val="007D7D66"/>
    <w:rsid w:val="007E0056"/>
    <w:rsid w:val="007E6FA2"/>
    <w:rsid w:val="007F1C7E"/>
    <w:rsid w:val="007F30BC"/>
    <w:rsid w:val="007F3684"/>
    <w:rsid w:val="007F49BF"/>
    <w:rsid w:val="0080250B"/>
    <w:rsid w:val="00812054"/>
    <w:rsid w:val="00814565"/>
    <w:rsid w:val="0082162B"/>
    <w:rsid w:val="00826F2C"/>
    <w:rsid w:val="0083066E"/>
    <w:rsid w:val="00830EBC"/>
    <w:rsid w:val="00834CAE"/>
    <w:rsid w:val="00835C0C"/>
    <w:rsid w:val="00836984"/>
    <w:rsid w:val="00837AD1"/>
    <w:rsid w:val="0084019E"/>
    <w:rsid w:val="00841FEB"/>
    <w:rsid w:val="008421A5"/>
    <w:rsid w:val="00843089"/>
    <w:rsid w:val="008440F5"/>
    <w:rsid w:val="0084479D"/>
    <w:rsid w:val="00845F77"/>
    <w:rsid w:val="00851D1C"/>
    <w:rsid w:val="0085273A"/>
    <w:rsid w:val="00857C7D"/>
    <w:rsid w:val="00860DBE"/>
    <w:rsid w:val="0086465D"/>
    <w:rsid w:val="00865C52"/>
    <w:rsid w:val="00866256"/>
    <w:rsid w:val="008668D4"/>
    <w:rsid w:val="008724CC"/>
    <w:rsid w:val="0087320D"/>
    <w:rsid w:val="00876E93"/>
    <w:rsid w:val="0088290D"/>
    <w:rsid w:val="00883537"/>
    <w:rsid w:val="00884F51"/>
    <w:rsid w:val="008859F4"/>
    <w:rsid w:val="00886E16"/>
    <w:rsid w:val="00892ECB"/>
    <w:rsid w:val="00894641"/>
    <w:rsid w:val="00895016"/>
    <w:rsid w:val="0089573E"/>
    <w:rsid w:val="008960D9"/>
    <w:rsid w:val="0089624E"/>
    <w:rsid w:val="00897E45"/>
    <w:rsid w:val="008A30C6"/>
    <w:rsid w:val="008A4F26"/>
    <w:rsid w:val="008B1ACB"/>
    <w:rsid w:val="008B2543"/>
    <w:rsid w:val="008B56F9"/>
    <w:rsid w:val="008C00A1"/>
    <w:rsid w:val="008C0501"/>
    <w:rsid w:val="008C09ED"/>
    <w:rsid w:val="008C2ED7"/>
    <w:rsid w:val="008C3A0C"/>
    <w:rsid w:val="008D3042"/>
    <w:rsid w:val="008D4D80"/>
    <w:rsid w:val="008D62C6"/>
    <w:rsid w:val="008E078D"/>
    <w:rsid w:val="008E7857"/>
    <w:rsid w:val="008F037A"/>
    <w:rsid w:val="008F154E"/>
    <w:rsid w:val="008F374A"/>
    <w:rsid w:val="008F689C"/>
    <w:rsid w:val="008F6E22"/>
    <w:rsid w:val="0090210A"/>
    <w:rsid w:val="00912F93"/>
    <w:rsid w:val="0092240B"/>
    <w:rsid w:val="00922C10"/>
    <w:rsid w:val="00923EB8"/>
    <w:rsid w:val="00924672"/>
    <w:rsid w:val="00925C32"/>
    <w:rsid w:val="00927171"/>
    <w:rsid w:val="00930EBB"/>
    <w:rsid w:val="00931FFD"/>
    <w:rsid w:val="00932E01"/>
    <w:rsid w:val="00936A52"/>
    <w:rsid w:val="00940FE3"/>
    <w:rsid w:val="00942258"/>
    <w:rsid w:val="00950131"/>
    <w:rsid w:val="009509F7"/>
    <w:rsid w:val="00952A4C"/>
    <w:rsid w:val="00954CD7"/>
    <w:rsid w:val="009636FF"/>
    <w:rsid w:val="00975193"/>
    <w:rsid w:val="00976575"/>
    <w:rsid w:val="00981C73"/>
    <w:rsid w:val="0098305C"/>
    <w:rsid w:val="009855D9"/>
    <w:rsid w:val="00990981"/>
    <w:rsid w:val="00990A58"/>
    <w:rsid w:val="00991F5F"/>
    <w:rsid w:val="00993664"/>
    <w:rsid w:val="00996E08"/>
    <w:rsid w:val="009A1738"/>
    <w:rsid w:val="009A2CD3"/>
    <w:rsid w:val="009A79DD"/>
    <w:rsid w:val="009A7FA5"/>
    <w:rsid w:val="009B308E"/>
    <w:rsid w:val="009B37D5"/>
    <w:rsid w:val="009B4714"/>
    <w:rsid w:val="009B5D73"/>
    <w:rsid w:val="009B7CA9"/>
    <w:rsid w:val="009B7D80"/>
    <w:rsid w:val="009C2915"/>
    <w:rsid w:val="009C6BE5"/>
    <w:rsid w:val="009D2551"/>
    <w:rsid w:val="009D2660"/>
    <w:rsid w:val="009E794A"/>
    <w:rsid w:val="009E7D53"/>
    <w:rsid w:val="00A01775"/>
    <w:rsid w:val="00A03353"/>
    <w:rsid w:val="00A04C60"/>
    <w:rsid w:val="00A074A4"/>
    <w:rsid w:val="00A07BF9"/>
    <w:rsid w:val="00A11F49"/>
    <w:rsid w:val="00A16C29"/>
    <w:rsid w:val="00A16CB7"/>
    <w:rsid w:val="00A170DC"/>
    <w:rsid w:val="00A17366"/>
    <w:rsid w:val="00A1745D"/>
    <w:rsid w:val="00A22663"/>
    <w:rsid w:val="00A2383A"/>
    <w:rsid w:val="00A255CE"/>
    <w:rsid w:val="00A42EE9"/>
    <w:rsid w:val="00A45277"/>
    <w:rsid w:val="00A51726"/>
    <w:rsid w:val="00A53C34"/>
    <w:rsid w:val="00A57746"/>
    <w:rsid w:val="00A57BAA"/>
    <w:rsid w:val="00A639A3"/>
    <w:rsid w:val="00A64E6A"/>
    <w:rsid w:val="00A66157"/>
    <w:rsid w:val="00A6715D"/>
    <w:rsid w:val="00A7115C"/>
    <w:rsid w:val="00A71822"/>
    <w:rsid w:val="00A86B10"/>
    <w:rsid w:val="00A906EA"/>
    <w:rsid w:val="00A92383"/>
    <w:rsid w:val="00A924F3"/>
    <w:rsid w:val="00A92742"/>
    <w:rsid w:val="00A93F76"/>
    <w:rsid w:val="00A94BA8"/>
    <w:rsid w:val="00AA04E0"/>
    <w:rsid w:val="00AA6371"/>
    <w:rsid w:val="00AB05F8"/>
    <w:rsid w:val="00AB1CBF"/>
    <w:rsid w:val="00AB4C33"/>
    <w:rsid w:val="00AB4C79"/>
    <w:rsid w:val="00AB5E9E"/>
    <w:rsid w:val="00AC11CB"/>
    <w:rsid w:val="00AC2FEC"/>
    <w:rsid w:val="00AD0596"/>
    <w:rsid w:val="00AD31D8"/>
    <w:rsid w:val="00AD3AEA"/>
    <w:rsid w:val="00AE1388"/>
    <w:rsid w:val="00AE368A"/>
    <w:rsid w:val="00AE3C14"/>
    <w:rsid w:val="00AE5378"/>
    <w:rsid w:val="00AE621C"/>
    <w:rsid w:val="00AF0217"/>
    <w:rsid w:val="00AF3D3E"/>
    <w:rsid w:val="00B03DCE"/>
    <w:rsid w:val="00B0416E"/>
    <w:rsid w:val="00B0609C"/>
    <w:rsid w:val="00B07433"/>
    <w:rsid w:val="00B07587"/>
    <w:rsid w:val="00B1026D"/>
    <w:rsid w:val="00B12B70"/>
    <w:rsid w:val="00B2378E"/>
    <w:rsid w:val="00B26085"/>
    <w:rsid w:val="00B26158"/>
    <w:rsid w:val="00B42C3B"/>
    <w:rsid w:val="00B44AFB"/>
    <w:rsid w:val="00B52049"/>
    <w:rsid w:val="00B52C88"/>
    <w:rsid w:val="00B52DCC"/>
    <w:rsid w:val="00B6162E"/>
    <w:rsid w:val="00B62A78"/>
    <w:rsid w:val="00B67433"/>
    <w:rsid w:val="00B6769A"/>
    <w:rsid w:val="00B678E4"/>
    <w:rsid w:val="00B706A6"/>
    <w:rsid w:val="00B73370"/>
    <w:rsid w:val="00B73BB6"/>
    <w:rsid w:val="00B7612D"/>
    <w:rsid w:val="00B82C80"/>
    <w:rsid w:val="00B85DDF"/>
    <w:rsid w:val="00B863D6"/>
    <w:rsid w:val="00B901D1"/>
    <w:rsid w:val="00B93709"/>
    <w:rsid w:val="00B97A90"/>
    <w:rsid w:val="00B97AB2"/>
    <w:rsid w:val="00BA1609"/>
    <w:rsid w:val="00BA1ACC"/>
    <w:rsid w:val="00BA34F2"/>
    <w:rsid w:val="00BA5D7A"/>
    <w:rsid w:val="00BB2213"/>
    <w:rsid w:val="00BB2F9C"/>
    <w:rsid w:val="00BB43A4"/>
    <w:rsid w:val="00BC0C5D"/>
    <w:rsid w:val="00BC5DC0"/>
    <w:rsid w:val="00BC7AD7"/>
    <w:rsid w:val="00BD251F"/>
    <w:rsid w:val="00BE279D"/>
    <w:rsid w:val="00BE5722"/>
    <w:rsid w:val="00BE5B68"/>
    <w:rsid w:val="00BE6659"/>
    <w:rsid w:val="00BE6B57"/>
    <w:rsid w:val="00BF23EF"/>
    <w:rsid w:val="00BF400E"/>
    <w:rsid w:val="00BF66F0"/>
    <w:rsid w:val="00C01338"/>
    <w:rsid w:val="00C02ABF"/>
    <w:rsid w:val="00C13021"/>
    <w:rsid w:val="00C13EC2"/>
    <w:rsid w:val="00C23C4C"/>
    <w:rsid w:val="00C33B18"/>
    <w:rsid w:val="00C35135"/>
    <w:rsid w:val="00C36685"/>
    <w:rsid w:val="00C37E86"/>
    <w:rsid w:val="00C44301"/>
    <w:rsid w:val="00C45766"/>
    <w:rsid w:val="00C470B5"/>
    <w:rsid w:val="00C47C98"/>
    <w:rsid w:val="00C61254"/>
    <w:rsid w:val="00C6165C"/>
    <w:rsid w:val="00C619AB"/>
    <w:rsid w:val="00C63247"/>
    <w:rsid w:val="00C6325E"/>
    <w:rsid w:val="00C6379B"/>
    <w:rsid w:val="00C66D54"/>
    <w:rsid w:val="00C71C80"/>
    <w:rsid w:val="00C739EC"/>
    <w:rsid w:val="00C74940"/>
    <w:rsid w:val="00C77E14"/>
    <w:rsid w:val="00C80EA7"/>
    <w:rsid w:val="00C81EC0"/>
    <w:rsid w:val="00C83BDF"/>
    <w:rsid w:val="00C924DB"/>
    <w:rsid w:val="00C946B7"/>
    <w:rsid w:val="00CA27AA"/>
    <w:rsid w:val="00CA4121"/>
    <w:rsid w:val="00CA6973"/>
    <w:rsid w:val="00CA72D1"/>
    <w:rsid w:val="00CA7D6B"/>
    <w:rsid w:val="00CB2103"/>
    <w:rsid w:val="00CB41AB"/>
    <w:rsid w:val="00CB574C"/>
    <w:rsid w:val="00CB5CE6"/>
    <w:rsid w:val="00CB64A6"/>
    <w:rsid w:val="00CB7791"/>
    <w:rsid w:val="00CC0D6F"/>
    <w:rsid w:val="00CC56C2"/>
    <w:rsid w:val="00CC730B"/>
    <w:rsid w:val="00CD104F"/>
    <w:rsid w:val="00CD395E"/>
    <w:rsid w:val="00CD4BDD"/>
    <w:rsid w:val="00CE1753"/>
    <w:rsid w:val="00CE177D"/>
    <w:rsid w:val="00CF06C7"/>
    <w:rsid w:val="00CF181A"/>
    <w:rsid w:val="00CF5DF5"/>
    <w:rsid w:val="00CF5EDC"/>
    <w:rsid w:val="00D0037C"/>
    <w:rsid w:val="00D018F5"/>
    <w:rsid w:val="00D03C96"/>
    <w:rsid w:val="00D04104"/>
    <w:rsid w:val="00D064CB"/>
    <w:rsid w:val="00D157C8"/>
    <w:rsid w:val="00D17E0A"/>
    <w:rsid w:val="00D23DE1"/>
    <w:rsid w:val="00D24AAC"/>
    <w:rsid w:val="00D264F0"/>
    <w:rsid w:val="00D27882"/>
    <w:rsid w:val="00D30337"/>
    <w:rsid w:val="00D352E9"/>
    <w:rsid w:val="00D35AA7"/>
    <w:rsid w:val="00D41343"/>
    <w:rsid w:val="00D42835"/>
    <w:rsid w:val="00D434F5"/>
    <w:rsid w:val="00D45942"/>
    <w:rsid w:val="00D46252"/>
    <w:rsid w:val="00D54B4E"/>
    <w:rsid w:val="00D61B52"/>
    <w:rsid w:val="00D61E25"/>
    <w:rsid w:val="00D623E9"/>
    <w:rsid w:val="00D62EC2"/>
    <w:rsid w:val="00D639B8"/>
    <w:rsid w:val="00D64770"/>
    <w:rsid w:val="00D733FF"/>
    <w:rsid w:val="00D748DD"/>
    <w:rsid w:val="00D74D8E"/>
    <w:rsid w:val="00D77741"/>
    <w:rsid w:val="00D81F01"/>
    <w:rsid w:val="00D842C6"/>
    <w:rsid w:val="00D90D6E"/>
    <w:rsid w:val="00D91F9E"/>
    <w:rsid w:val="00D974C3"/>
    <w:rsid w:val="00DA2719"/>
    <w:rsid w:val="00DA2B94"/>
    <w:rsid w:val="00DB068B"/>
    <w:rsid w:val="00DB5652"/>
    <w:rsid w:val="00DB64BD"/>
    <w:rsid w:val="00DC1D0D"/>
    <w:rsid w:val="00DC228C"/>
    <w:rsid w:val="00DC2491"/>
    <w:rsid w:val="00DC2F9A"/>
    <w:rsid w:val="00DC4B9B"/>
    <w:rsid w:val="00DD4424"/>
    <w:rsid w:val="00DD524C"/>
    <w:rsid w:val="00DD5413"/>
    <w:rsid w:val="00DD56EE"/>
    <w:rsid w:val="00DD617C"/>
    <w:rsid w:val="00DD6725"/>
    <w:rsid w:val="00DE0320"/>
    <w:rsid w:val="00DE1AF0"/>
    <w:rsid w:val="00DE2554"/>
    <w:rsid w:val="00DE2881"/>
    <w:rsid w:val="00DE3721"/>
    <w:rsid w:val="00DE51E8"/>
    <w:rsid w:val="00DE5B97"/>
    <w:rsid w:val="00DE6261"/>
    <w:rsid w:val="00DE6C47"/>
    <w:rsid w:val="00DE7F97"/>
    <w:rsid w:val="00DF3CE9"/>
    <w:rsid w:val="00DF3DF7"/>
    <w:rsid w:val="00DF49D8"/>
    <w:rsid w:val="00DF7526"/>
    <w:rsid w:val="00DF75A9"/>
    <w:rsid w:val="00DF77A7"/>
    <w:rsid w:val="00E0146F"/>
    <w:rsid w:val="00E01674"/>
    <w:rsid w:val="00E064FE"/>
    <w:rsid w:val="00E07473"/>
    <w:rsid w:val="00E07D49"/>
    <w:rsid w:val="00E07E1A"/>
    <w:rsid w:val="00E1380B"/>
    <w:rsid w:val="00E14DD9"/>
    <w:rsid w:val="00E15A11"/>
    <w:rsid w:val="00E20AEC"/>
    <w:rsid w:val="00E21E74"/>
    <w:rsid w:val="00E23C9E"/>
    <w:rsid w:val="00E3502A"/>
    <w:rsid w:val="00E37CF2"/>
    <w:rsid w:val="00E407B9"/>
    <w:rsid w:val="00E475BF"/>
    <w:rsid w:val="00E53C6A"/>
    <w:rsid w:val="00E679C5"/>
    <w:rsid w:val="00E72B13"/>
    <w:rsid w:val="00E74BC9"/>
    <w:rsid w:val="00E81CEC"/>
    <w:rsid w:val="00E82FE6"/>
    <w:rsid w:val="00E841CF"/>
    <w:rsid w:val="00E93DF6"/>
    <w:rsid w:val="00E96A47"/>
    <w:rsid w:val="00E96CBC"/>
    <w:rsid w:val="00EA6E5A"/>
    <w:rsid w:val="00EA7E82"/>
    <w:rsid w:val="00EB28D0"/>
    <w:rsid w:val="00EB3C3F"/>
    <w:rsid w:val="00EB4264"/>
    <w:rsid w:val="00EB43B0"/>
    <w:rsid w:val="00EB5953"/>
    <w:rsid w:val="00EB76C5"/>
    <w:rsid w:val="00EB7F1B"/>
    <w:rsid w:val="00EC0892"/>
    <w:rsid w:val="00EC1CE8"/>
    <w:rsid w:val="00EC1D97"/>
    <w:rsid w:val="00EC4A05"/>
    <w:rsid w:val="00EC6D0A"/>
    <w:rsid w:val="00ED4041"/>
    <w:rsid w:val="00ED5D78"/>
    <w:rsid w:val="00EE30F8"/>
    <w:rsid w:val="00EE59BF"/>
    <w:rsid w:val="00EE6E5B"/>
    <w:rsid w:val="00EE6E9C"/>
    <w:rsid w:val="00EF3B96"/>
    <w:rsid w:val="00EF7A9B"/>
    <w:rsid w:val="00F01D55"/>
    <w:rsid w:val="00F03CFA"/>
    <w:rsid w:val="00F07C2E"/>
    <w:rsid w:val="00F15E2C"/>
    <w:rsid w:val="00F17E26"/>
    <w:rsid w:val="00F212BD"/>
    <w:rsid w:val="00F259A9"/>
    <w:rsid w:val="00F26179"/>
    <w:rsid w:val="00F31743"/>
    <w:rsid w:val="00F32D2C"/>
    <w:rsid w:val="00F33D4B"/>
    <w:rsid w:val="00F35483"/>
    <w:rsid w:val="00F40438"/>
    <w:rsid w:val="00F41945"/>
    <w:rsid w:val="00F5021C"/>
    <w:rsid w:val="00F54DE3"/>
    <w:rsid w:val="00F54FDD"/>
    <w:rsid w:val="00F626A7"/>
    <w:rsid w:val="00F678BD"/>
    <w:rsid w:val="00F72F44"/>
    <w:rsid w:val="00F73E00"/>
    <w:rsid w:val="00F742B3"/>
    <w:rsid w:val="00F81266"/>
    <w:rsid w:val="00F854C1"/>
    <w:rsid w:val="00F9166C"/>
    <w:rsid w:val="00F917ED"/>
    <w:rsid w:val="00F95630"/>
    <w:rsid w:val="00FA021C"/>
    <w:rsid w:val="00FA6117"/>
    <w:rsid w:val="00FB15CA"/>
    <w:rsid w:val="00FB1998"/>
    <w:rsid w:val="00FB1C6D"/>
    <w:rsid w:val="00FB352B"/>
    <w:rsid w:val="00FB51EB"/>
    <w:rsid w:val="00FC29EF"/>
    <w:rsid w:val="00FC4A0C"/>
    <w:rsid w:val="00FC4A61"/>
    <w:rsid w:val="00FD1CC7"/>
    <w:rsid w:val="00FD6247"/>
    <w:rsid w:val="00FE0E51"/>
    <w:rsid w:val="00FE2F01"/>
    <w:rsid w:val="00FE4549"/>
    <w:rsid w:val="00FE6388"/>
    <w:rsid w:val="00FF4183"/>
    <w:rsid w:val="00FF458C"/>
    <w:rsid w:val="00FF5E99"/>
    <w:rsid w:val="00F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jc w:val="lef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FB1998"/>
    <w:rPr>
      <w:rFonts w:ascii="Arial" w:hAnsi="Arial"/>
      <w:noProof/>
      <w:sz w:val="24"/>
      <w:lang w:val="sk-SK" w:eastAsia="cs-CZ" w:bidi="ar-SA"/>
    </w:r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arkazkladnhotextu">
    <w:name w:val="Body Text Indent"/>
    <w:basedOn w:val="Normlny"/>
    <w:pPr>
      <w:spacing w:before="120"/>
      <w:jc w:val="center"/>
    </w:pPr>
  </w:style>
  <w:style w:type="paragraph" w:styleId="Zarkazkladnhotextu2">
    <w:name w:val="Body Text Indent 2"/>
    <w:basedOn w:val="Normlny"/>
    <w:pPr>
      <w:spacing w:line="360" w:lineRule="auto"/>
      <w:ind w:left="86" w:hanging="86"/>
      <w:jc w:val="left"/>
    </w:pPr>
    <w:rPr>
      <w:noProof w:val="0"/>
      <w:lang w:val="en-GB"/>
    </w:rPr>
  </w:style>
  <w:style w:type="paragraph" w:styleId="Zkladntext2">
    <w:name w:val="Body Text 2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customStyle="1" w:styleId="Prvynadp">
    <w:name w:val="Prvynadp"/>
    <w:basedOn w:val="ciara"/>
    <w:rsid w:val="00FB1998"/>
    <w:pPr>
      <w:spacing w:before="1200"/>
      <w:jc w:val="right"/>
    </w:pPr>
    <w:rPr>
      <w:b/>
      <w:sz w:val="36"/>
    </w:rPr>
  </w:style>
  <w:style w:type="paragraph" w:customStyle="1" w:styleId="ciara">
    <w:name w:val="ciara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360" w:lineRule="atLeast"/>
      <w:ind w:left="0" w:firstLine="454"/>
    </w:pPr>
    <w:rPr>
      <w:noProof w:val="0"/>
      <w:sz w:val="24"/>
      <w:lang w:val="en-US"/>
    </w:rPr>
  </w:style>
  <w:style w:type="paragraph" w:customStyle="1" w:styleId="Prvyodst">
    <w:name w:val="Prvyodst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480" w:line="360" w:lineRule="atLeast"/>
      <w:ind w:left="0" w:firstLine="454"/>
    </w:pPr>
    <w:rPr>
      <w:noProof w:val="0"/>
      <w:sz w:val="24"/>
      <w:lang w:val="en-US"/>
    </w:rPr>
  </w:style>
  <w:style w:type="paragraph" w:styleId="Zkladntext3">
    <w:name w:val="Body Text 3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00" w:lineRule="exact"/>
      <w:ind w:left="0" w:right="170" w:firstLine="0"/>
      <w:jc w:val="right"/>
    </w:pPr>
    <w:rPr>
      <w:noProof w:val="0"/>
      <w:lang w:val="en-GB"/>
    </w:rPr>
  </w:style>
  <w:style w:type="paragraph" w:customStyle="1" w:styleId="Odsekzoznamu1">
    <w:name w:val="Odsek zoznamu1"/>
    <w:basedOn w:val="Normlny"/>
    <w:rsid w:val="00FB1998"/>
    <w:pPr>
      <w:widowControl/>
      <w:spacing w:line="240" w:lineRule="auto"/>
      <w:ind w:left="720"/>
    </w:pPr>
    <w:rPr>
      <w:noProof w:val="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71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27171"/>
    <w:rPr>
      <w:rFonts w:ascii="Segoe UI" w:hAnsi="Segoe UI" w:cs="Segoe UI"/>
      <w:noProof/>
      <w:sz w:val="18"/>
      <w:szCs w:val="18"/>
      <w:lang w:eastAsia="cs-CZ"/>
    </w:rPr>
  </w:style>
  <w:style w:type="character" w:styleId="Jemnzvraznenie">
    <w:name w:val="Subtle Emphasis"/>
    <w:basedOn w:val="Predvolenpsmoodseku"/>
    <w:uiPriority w:val="19"/>
    <w:qFormat/>
    <w:rsid w:val="003616A5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jc w:val="lef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FB1998"/>
    <w:rPr>
      <w:rFonts w:ascii="Arial" w:hAnsi="Arial"/>
      <w:noProof/>
      <w:sz w:val="24"/>
      <w:lang w:val="sk-SK" w:eastAsia="cs-CZ" w:bidi="ar-SA"/>
    </w:r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arkazkladnhotextu">
    <w:name w:val="Body Text Indent"/>
    <w:basedOn w:val="Normlny"/>
    <w:pPr>
      <w:spacing w:before="120"/>
      <w:jc w:val="center"/>
    </w:pPr>
  </w:style>
  <w:style w:type="paragraph" w:styleId="Zarkazkladnhotextu2">
    <w:name w:val="Body Text Indent 2"/>
    <w:basedOn w:val="Normlny"/>
    <w:pPr>
      <w:spacing w:line="360" w:lineRule="auto"/>
      <w:ind w:left="86" w:hanging="86"/>
      <w:jc w:val="left"/>
    </w:pPr>
    <w:rPr>
      <w:noProof w:val="0"/>
      <w:lang w:val="en-GB"/>
    </w:rPr>
  </w:style>
  <w:style w:type="paragraph" w:styleId="Zkladntext2">
    <w:name w:val="Body Text 2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customStyle="1" w:styleId="Prvynadp">
    <w:name w:val="Prvynadp"/>
    <w:basedOn w:val="ciara"/>
    <w:rsid w:val="00FB1998"/>
    <w:pPr>
      <w:spacing w:before="1200"/>
      <w:jc w:val="right"/>
    </w:pPr>
    <w:rPr>
      <w:b/>
      <w:sz w:val="36"/>
    </w:rPr>
  </w:style>
  <w:style w:type="paragraph" w:customStyle="1" w:styleId="ciara">
    <w:name w:val="ciara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360" w:lineRule="atLeast"/>
      <w:ind w:left="0" w:firstLine="454"/>
    </w:pPr>
    <w:rPr>
      <w:noProof w:val="0"/>
      <w:sz w:val="24"/>
      <w:lang w:val="en-US"/>
    </w:rPr>
  </w:style>
  <w:style w:type="paragraph" w:customStyle="1" w:styleId="Prvyodst">
    <w:name w:val="Prvyodst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480" w:line="360" w:lineRule="atLeast"/>
      <w:ind w:left="0" w:firstLine="454"/>
    </w:pPr>
    <w:rPr>
      <w:noProof w:val="0"/>
      <w:sz w:val="24"/>
      <w:lang w:val="en-US"/>
    </w:rPr>
  </w:style>
  <w:style w:type="paragraph" w:styleId="Zkladntext3">
    <w:name w:val="Body Text 3"/>
    <w:basedOn w:val="Normlny"/>
    <w:rsid w:val="00FB199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00" w:lineRule="exact"/>
      <w:ind w:left="0" w:right="170" w:firstLine="0"/>
      <w:jc w:val="right"/>
    </w:pPr>
    <w:rPr>
      <w:noProof w:val="0"/>
      <w:lang w:val="en-GB"/>
    </w:rPr>
  </w:style>
  <w:style w:type="paragraph" w:customStyle="1" w:styleId="Odsekzoznamu1">
    <w:name w:val="Odsek zoznamu1"/>
    <w:basedOn w:val="Normlny"/>
    <w:rsid w:val="00FB1998"/>
    <w:pPr>
      <w:widowControl/>
      <w:spacing w:line="240" w:lineRule="auto"/>
      <w:ind w:left="720"/>
    </w:pPr>
    <w:rPr>
      <w:noProof w:val="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71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27171"/>
    <w:rPr>
      <w:rFonts w:ascii="Segoe UI" w:hAnsi="Segoe UI" w:cs="Segoe UI"/>
      <w:noProof/>
      <w:sz w:val="18"/>
      <w:szCs w:val="18"/>
      <w:lang w:eastAsia="cs-CZ"/>
    </w:rPr>
  </w:style>
  <w:style w:type="character" w:styleId="Jemnzvraznenie">
    <w:name w:val="Subtle Emphasis"/>
    <w:basedOn w:val="Predvolenpsmoodseku"/>
    <w:uiPriority w:val="19"/>
    <w:qFormat/>
    <w:rsid w:val="003616A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2CFA-0142-4CC9-AEA4-578D6EA02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1140</Words>
  <Characters>4561</Characters>
  <Application>Microsoft Office Word</Application>
  <DocSecurity>0</DocSecurity>
  <Lines>651</Lines>
  <Paragraphs>712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VI.5-1. _Divadlá1)</vt:lpstr>
      <vt:lpstr>VI.5-1. _Divadlá1)</vt:lpstr>
      <vt:lpstr>VI.5-1. _Divadlá1)</vt:lpstr>
    </vt:vector>
  </TitlesOfParts>
  <Company>ŠÚ SR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VI.5-1. _Divadlá1)</dc:title>
  <dc:subject/>
  <dc:creator>DEFAULT PC</dc:creator>
  <cp:keywords/>
  <cp:lastModifiedBy>Jana Tináková</cp:lastModifiedBy>
  <cp:revision>3</cp:revision>
  <cp:lastPrinted>2020-09-16T07:09:00Z</cp:lastPrinted>
  <dcterms:created xsi:type="dcterms:W3CDTF">2020-09-16T07:09:00Z</dcterms:created>
  <dcterms:modified xsi:type="dcterms:W3CDTF">2020-10-14T18:19:00Z</dcterms:modified>
</cp:coreProperties>
</file>