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C70" w:rsidRPr="00F67FD6" w:rsidRDefault="00540C70">
      <w:pPr>
        <w:pStyle w:val="nadpis"/>
        <w:rPr>
          <w:rFonts w:asciiTheme="majorBidi" w:hAnsiTheme="majorBidi" w:cstheme="majorBidi"/>
          <w:lang w:val="en-GB"/>
        </w:rPr>
      </w:pPr>
      <w:bookmarkStart w:id="0" w:name="_GoBack"/>
      <w:r w:rsidRPr="00F67FD6">
        <w:rPr>
          <w:rFonts w:asciiTheme="majorBidi" w:hAnsiTheme="majorBidi" w:cstheme="majorBidi"/>
          <w:lang w:val="en-GB"/>
        </w:rPr>
        <w:t>11. FOREIGN TRADE</w:t>
      </w:r>
    </w:p>
    <w:p w:rsidR="00540C70" w:rsidRPr="00F67FD6" w:rsidRDefault="00540C70">
      <w:pPr>
        <w:pStyle w:val="podnadpis"/>
        <w:rPr>
          <w:rFonts w:asciiTheme="majorBidi" w:hAnsiTheme="majorBidi" w:cstheme="majorBidi"/>
          <w:lang w:val="en-GB"/>
        </w:rPr>
      </w:pPr>
      <w:r w:rsidRPr="00F67FD6">
        <w:rPr>
          <w:rFonts w:asciiTheme="majorBidi" w:hAnsiTheme="majorBidi" w:cstheme="majorBidi"/>
          <w:lang w:val="en-GB"/>
        </w:rPr>
        <w:t>Methodological notes</w:t>
      </w:r>
    </w:p>
    <w:p w:rsidR="00540C70" w:rsidRPr="00F67FD6" w:rsidRDefault="00540C70">
      <w:pPr>
        <w:pStyle w:val="bodytextEN"/>
        <w:rPr>
          <w:rFonts w:asciiTheme="majorBidi" w:hAnsiTheme="majorBidi" w:cstheme="majorBidi"/>
        </w:rPr>
      </w:pPr>
      <w:r w:rsidRPr="00F67FD6">
        <w:rPr>
          <w:rFonts w:asciiTheme="majorBidi" w:hAnsiTheme="majorBidi" w:cstheme="majorBidi"/>
        </w:rPr>
        <w:t>Foreign trade statistics generally records the movement of goods between the Slovak Republic and the rest of the world. The total import includes goods entering the Slovak Republic to be added to the material resources of the Slovak Republic and goods for processing to be subs</w:t>
      </w:r>
      <w:r w:rsidRPr="00F67FD6">
        <w:rPr>
          <w:rFonts w:asciiTheme="majorBidi" w:hAnsiTheme="majorBidi" w:cstheme="majorBidi"/>
        </w:rPr>
        <w:t>e</w:t>
      </w:r>
      <w:r w:rsidRPr="00F67FD6">
        <w:rPr>
          <w:rFonts w:asciiTheme="majorBidi" w:hAnsiTheme="majorBidi" w:cstheme="majorBidi"/>
        </w:rPr>
        <w:t xml:space="preserve">quently re-exported in the form of compensating products. The total export includes goods taken from material resources of the Slovak Republic permanently leaving its territory or goods leaving this territory for the purposes of processing, which are to be re-imported after processing in the form of compensating products. </w:t>
      </w:r>
    </w:p>
    <w:p w:rsidR="00540C70" w:rsidRPr="00F67FD6" w:rsidRDefault="00540C70">
      <w:pPr>
        <w:pStyle w:val="bodytextEN"/>
        <w:rPr>
          <w:rFonts w:asciiTheme="majorBidi" w:hAnsiTheme="majorBidi" w:cstheme="majorBidi"/>
        </w:rPr>
      </w:pPr>
      <w:r w:rsidRPr="00F67FD6">
        <w:rPr>
          <w:rFonts w:asciiTheme="majorBidi" w:hAnsiTheme="majorBidi" w:cstheme="majorBidi"/>
        </w:rPr>
        <w:t>Foreign trade statistics do not include goods that are in temporary use, goods intended for r</w:t>
      </w:r>
      <w:r w:rsidRPr="00F67FD6">
        <w:rPr>
          <w:rFonts w:asciiTheme="majorBidi" w:hAnsiTheme="majorBidi" w:cstheme="majorBidi"/>
        </w:rPr>
        <w:t>e</w:t>
      </w:r>
      <w:r w:rsidRPr="00F67FD6">
        <w:rPr>
          <w:rFonts w:asciiTheme="majorBidi" w:hAnsiTheme="majorBidi" w:cstheme="majorBidi"/>
        </w:rPr>
        <w:t>pair and after their repair, and related spare parts and goods in which only a customs procedure (quasi import and quasi export) was carried out in the Slovak Republic.</w:t>
      </w:r>
    </w:p>
    <w:p w:rsidR="00536D51" w:rsidRPr="00F67FD6" w:rsidRDefault="00540C70">
      <w:pPr>
        <w:pStyle w:val="bodytextEN"/>
        <w:rPr>
          <w:rFonts w:asciiTheme="majorBidi" w:hAnsiTheme="majorBidi" w:cstheme="majorBidi"/>
        </w:rPr>
      </w:pPr>
      <w:r w:rsidRPr="00F67FD6">
        <w:rPr>
          <w:rFonts w:asciiTheme="majorBidi" w:hAnsiTheme="majorBidi" w:cstheme="majorBidi"/>
        </w:rPr>
        <w:t>The acquisitions of goods from another Member State or supplies of goods to another Me</w:t>
      </w:r>
      <w:r w:rsidRPr="00F67FD6">
        <w:rPr>
          <w:rFonts w:asciiTheme="majorBidi" w:hAnsiTheme="majorBidi" w:cstheme="majorBidi"/>
        </w:rPr>
        <w:t>m</w:t>
      </w:r>
      <w:r w:rsidRPr="00F67FD6">
        <w:rPr>
          <w:rFonts w:asciiTheme="majorBidi" w:hAnsiTheme="majorBidi" w:cstheme="majorBidi"/>
        </w:rPr>
        <w:t>ber State (as considered by Act No 222/2004 Coll. on VAT as amended) are included in foreign trade statistics for month in which chargeable event occurs. If the import and export of goods are declared on customs declarations, then the goods are covered in the month in which that decl</w:t>
      </w:r>
      <w:r w:rsidRPr="00F67FD6">
        <w:rPr>
          <w:rFonts w:asciiTheme="majorBidi" w:hAnsiTheme="majorBidi" w:cstheme="majorBidi"/>
        </w:rPr>
        <w:t>a</w:t>
      </w:r>
      <w:r w:rsidRPr="00F67FD6">
        <w:rPr>
          <w:rFonts w:asciiTheme="majorBidi" w:hAnsiTheme="majorBidi" w:cstheme="majorBidi"/>
        </w:rPr>
        <w:t>ration was accepted. Other goods are included in the month in which they enter or leave the territory of the Slovak Republic.</w:t>
      </w:r>
    </w:p>
    <w:p w:rsidR="00540C70" w:rsidRPr="00F67FD6" w:rsidRDefault="00540C70">
      <w:pPr>
        <w:pStyle w:val="bodytextEN"/>
        <w:rPr>
          <w:rFonts w:asciiTheme="majorBidi" w:hAnsiTheme="majorBidi" w:cstheme="majorBidi"/>
        </w:rPr>
      </w:pPr>
      <w:r w:rsidRPr="00F67FD6">
        <w:rPr>
          <w:rFonts w:asciiTheme="majorBidi" w:hAnsiTheme="majorBidi" w:cstheme="majorBidi"/>
        </w:rPr>
        <w:t xml:space="preserve">Foreign trade data are published by </w:t>
      </w:r>
      <w:r w:rsidRPr="00F67FD6">
        <w:rPr>
          <w:rFonts w:asciiTheme="majorBidi" w:hAnsiTheme="majorBidi" w:cstheme="majorBidi"/>
          <w:b/>
          <w:bCs/>
        </w:rPr>
        <w:t>country of origin</w:t>
      </w:r>
      <w:r w:rsidRPr="00F67FD6">
        <w:rPr>
          <w:rFonts w:asciiTheme="majorBidi" w:hAnsiTheme="majorBidi" w:cstheme="majorBidi"/>
        </w:rPr>
        <w:t xml:space="preserve"> (for total import) and </w:t>
      </w:r>
      <w:r w:rsidRPr="00F67FD6">
        <w:rPr>
          <w:rFonts w:asciiTheme="majorBidi" w:hAnsiTheme="majorBidi" w:cstheme="majorBidi"/>
          <w:b/>
          <w:bCs/>
        </w:rPr>
        <w:t>country of destin</w:t>
      </w:r>
      <w:r w:rsidRPr="00F67FD6">
        <w:rPr>
          <w:rFonts w:asciiTheme="majorBidi" w:hAnsiTheme="majorBidi" w:cstheme="majorBidi"/>
          <w:b/>
          <w:bCs/>
        </w:rPr>
        <w:t>a</w:t>
      </w:r>
      <w:r w:rsidRPr="00F67FD6">
        <w:rPr>
          <w:rFonts w:asciiTheme="majorBidi" w:hAnsiTheme="majorBidi" w:cstheme="majorBidi"/>
          <w:b/>
          <w:bCs/>
        </w:rPr>
        <w:t>tion</w:t>
      </w:r>
      <w:r w:rsidRPr="00F67FD6">
        <w:rPr>
          <w:rFonts w:asciiTheme="majorBidi" w:hAnsiTheme="majorBidi" w:cstheme="majorBidi"/>
        </w:rPr>
        <w:t xml:space="preserve"> (for total export), which is in compliance with the international methodology of present</w:t>
      </w:r>
      <w:r w:rsidRPr="00F67FD6">
        <w:rPr>
          <w:rFonts w:asciiTheme="majorBidi" w:hAnsiTheme="majorBidi" w:cstheme="majorBidi"/>
        </w:rPr>
        <w:t>a</w:t>
      </w:r>
      <w:r w:rsidRPr="00F67FD6">
        <w:rPr>
          <w:rFonts w:asciiTheme="majorBidi" w:hAnsiTheme="majorBidi" w:cstheme="majorBidi"/>
        </w:rPr>
        <w:t xml:space="preserve">tion of foreign trade data. Values of imported and exported goods are compiled as </w:t>
      </w:r>
      <w:r w:rsidRPr="00F67FD6">
        <w:rPr>
          <w:rFonts w:asciiTheme="majorBidi" w:hAnsiTheme="majorBidi" w:cstheme="majorBidi"/>
          <w:b/>
          <w:bCs/>
        </w:rPr>
        <w:t>FOB-type values</w:t>
      </w:r>
      <w:r w:rsidRPr="00F67FD6">
        <w:rPr>
          <w:rFonts w:asciiTheme="majorBidi" w:hAnsiTheme="majorBidi" w:cstheme="majorBidi"/>
        </w:rPr>
        <w:t>. Data on the value of imported and exported electricity and natural gas are estimated on the basis of data on their physical, cross-border flows.</w:t>
      </w:r>
    </w:p>
    <w:p w:rsidR="00536D51" w:rsidRPr="00F67FD6" w:rsidRDefault="00540C70">
      <w:pPr>
        <w:pStyle w:val="bodytextEN"/>
        <w:rPr>
          <w:rFonts w:asciiTheme="majorBidi" w:hAnsiTheme="majorBidi" w:cstheme="majorBidi"/>
        </w:rPr>
      </w:pPr>
      <w:r w:rsidRPr="00F67FD6">
        <w:rPr>
          <w:rFonts w:asciiTheme="majorBidi" w:hAnsiTheme="majorBidi" w:cstheme="majorBidi"/>
        </w:rPr>
        <w:t>Statistical data are collected and published by Combined Nomenclature, which is available as an Annex of Regulation (EEC) No 2658/87 on the tariff and statistical nomenclature and on the Common Customs Tariff (Annex for year 2019 is in Commission Implementing Regulation (EU) 2018/1602). Data are also published according to the Standard International Trade Class</w:t>
      </w:r>
      <w:r w:rsidRPr="00F67FD6">
        <w:rPr>
          <w:rFonts w:asciiTheme="majorBidi" w:hAnsiTheme="majorBidi" w:cstheme="majorBidi"/>
        </w:rPr>
        <w:t>i</w:t>
      </w:r>
      <w:r w:rsidRPr="00F67FD6">
        <w:rPr>
          <w:rFonts w:asciiTheme="majorBidi" w:hAnsiTheme="majorBidi" w:cstheme="majorBidi"/>
        </w:rPr>
        <w:t>fication, Revision 4 (SITC, Rev. 4) and to Broad Economic Categories, Revision 4 (BEC, Rev. 4).</w:t>
      </w:r>
    </w:p>
    <w:p w:rsidR="00540C70" w:rsidRPr="00F67FD6" w:rsidRDefault="00540C70">
      <w:pPr>
        <w:pStyle w:val="bodytextEN"/>
        <w:rPr>
          <w:rFonts w:asciiTheme="majorBidi" w:hAnsiTheme="majorBidi" w:cstheme="majorBidi"/>
        </w:rPr>
      </w:pPr>
      <w:r w:rsidRPr="00F67FD6">
        <w:rPr>
          <w:rFonts w:asciiTheme="majorBidi" w:hAnsiTheme="majorBidi" w:cstheme="majorBidi"/>
        </w:rPr>
        <w:t>The statistics are compiled and published by countries according to the Nomenclature of countries and territories for the external trade statistics of the Community and statistics of trade between Member States (Commission Regulation (EU) No 1106/2012).</w:t>
      </w:r>
    </w:p>
    <w:p w:rsidR="00540C70" w:rsidRPr="00F67FD6" w:rsidRDefault="00540C70">
      <w:pPr>
        <w:pStyle w:val="bodytextEN"/>
        <w:rPr>
          <w:rFonts w:asciiTheme="majorBidi" w:hAnsiTheme="majorBidi" w:cstheme="majorBidi"/>
        </w:rPr>
      </w:pPr>
      <w:r w:rsidRPr="00F67FD6">
        <w:rPr>
          <w:rFonts w:asciiTheme="majorBidi" w:hAnsiTheme="majorBidi" w:cstheme="majorBidi"/>
        </w:rPr>
        <w:t>Published data on imports and exports were processed according to the methodology valid from 1 January 2019, on the basis of which all data from 2010 were recalculated.</w:t>
      </w:r>
    </w:p>
    <w:p w:rsidR="00540C70" w:rsidRPr="00F67FD6" w:rsidRDefault="00540C70">
      <w:pPr>
        <w:pStyle w:val="podnadpis"/>
        <w:rPr>
          <w:rFonts w:asciiTheme="majorBidi" w:hAnsiTheme="majorBidi" w:cstheme="majorBidi"/>
        </w:rPr>
      </w:pPr>
      <w:r w:rsidRPr="00F67FD6">
        <w:rPr>
          <w:rFonts w:asciiTheme="majorBidi" w:hAnsiTheme="majorBidi" w:cstheme="majorBidi"/>
        </w:rPr>
        <w:t>Definitions</w:t>
      </w:r>
    </w:p>
    <w:p w:rsidR="00540C70" w:rsidRPr="00F67FD6" w:rsidRDefault="00540C70">
      <w:pPr>
        <w:pStyle w:val="bodytextEN"/>
        <w:rPr>
          <w:rFonts w:asciiTheme="majorBidi" w:hAnsiTheme="majorBidi" w:cstheme="majorBidi"/>
        </w:rPr>
      </w:pPr>
      <w:r w:rsidRPr="00F67FD6">
        <w:rPr>
          <w:rFonts w:asciiTheme="majorBidi" w:hAnsiTheme="majorBidi" w:cstheme="majorBidi"/>
          <w:b/>
          <w:bCs/>
          <w:spacing w:val="-2"/>
        </w:rPr>
        <w:t>Country of origin</w:t>
      </w:r>
      <w:r w:rsidRPr="00F67FD6">
        <w:rPr>
          <w:rFonts w:asciiTheme="majorBidi" w:hAnsiTheme="majorBidi" w:cstheme="majorBidi"/>
          <w:spacing w:val="-2"/>
        </w:rPr>
        <w:t xml:space="preserve"> is the country, where goods w</w:t>
      </w:r>
      <w:r w:rsidRPr="00F67FD6">
        <w:rPr>
          <w:rFonts w:asciiTheme="majorBidi" w:hAnsiTheme="majorBidi" w:cstheme="majorBidi"/>
        </w:rPr>
        <w:t>ere completely produced or obtained, or where goods were substantially transformed.</w:t>
      </w:r>
    </w:p>
    <w:p w:rsidR="00540C70" w:rsidRPr="00F67FD6" w:rsidRDefault="00540C70">
      <w:pPr>
        <w:pStyle w:val="bodytextEN"/>
        <w:rPr>
          <w:rFonts w:asciiTheme="majorBidi" w:hAnsiTheme="majorBidi" w:cstheme="majorBidi"/>
        </w:rPr>
      </w:pPr>
      <w:r w:rsidRPr="00F67FD6">
        <w:rPr>
          <w:rFonts w:asciiTheme="majorBidi" w:hAnsiTheme="majorBidi" w:cstheme="majorBidi"/>
          <w:b/>
          <w:bCs/>
        </w:rPr>
        <w:t>Country of destination</w:t>
      </w:r>
      <w:r w:rsidRPr="00F67FD6">
        <w:rPr>
          <w:rFonts w:asciiTheme="majorBidi" w:hAnsiTheme="majorBidi" w:cstheme="majorBidi"/>
        </w:rPr>
        <w:t xml:space="preserve"> is the last country, to which it is known, at the time of export, that the goods are to be delivered.</w:t>
      </w:r>
    </w:p>
    <w:p w:rsidR="00540C70" w:rsidRPr="00F67FD6" w:rsidRDefault="00540C70">
      <w:pPr>
        <w:pStyle w:val="bodytextEN"/>
        <w:rPr>
          <w:rFonts w:asciiTheme="majorBidi" w:hAnsiTheme="majorBidi" w:cstheme="majorBidi"/>
        </w:rPr>
      </w:pPr>
      <w:r w:rsidRPr="00F67FD6">
        <w:rPr>
          <w:rFonts w:asciiTheme="majorBidi" w:hAnsiTheme="majorBidi" w:cstheme="majorBidi"/>
          <w:b/>
          <w:bCs/>
        </w:rPr>
        <w:t>FOB-type value</w:t>
      </w:r>
      <w:r w:rsidRPr="00F67FD6">
        <w:rPr>
          <w:rFonts w:asciiTheme="majorBidi" w:hAnsiTheme="majorBidi" w:cstheme="majorBidi"/>
        </w:rPr>
        <w:t xml:space="preserve"> includes the transaction value of goods and the values of services (e.g. transport, insurance, transfer, storing of the goods etc.) performed to deliver goods to the border of the exporting country.</w:t>
      </w:r>
    </w:p>
    <w:p w:rsidR="00540C70" w:rsidRPr="00F67FD6" w:rsidRDefault="00540C70">
      <w:pPr>
        <w:pStyle w:val="bodytextEN"/>
        <w:rPr>
          <w:rFonts w:asciiTheme="majorBidi" w:hAnsiTheme="majorBidi" w:cstheme="majorBidi"/>
        </w:rPr>
      </w:pPr>
      <w:r w:rsidRPr="00F67FD6">
        <w:rPr>
          <w:rFonts w:asciiTheme="majorBidi" w:hAnsiTheme="majorBidi" w:cstheme="majorBidi"/>
          <w:b/>
          <w:bCs/>
        </w:rPr>
        <w:t>Economical groups</w:t>
      </w:r>
      <w:r w:rsidRPr="00F67FD6">
        <w:rPr>
          <w:rFonts w:asciiTheme="majorBidi" w:hAnsiTheme="majorBidi" w:cstheme="majorBidi"/>
        </w:rPr>
        <w:t xml:space="preserve"> consist of the next countries:</w:t>
      </w:r>
    </w:p>
    <w:p w:rsidR="00540C70" w:rsidRPr="00F67FD6" w:rsidRDefault="00540C70">
      <w:pPr>
        <w:pStyle w:val="bodytextEN"/>
        <w:rPr>
          <w:rFonts w:asciiTheme="majorBidi" w:hAnsiTheme="majorBidi" w:cstheme="majorBidi"/>
        </w:rPr>
      </w:pPr>
      <w:r w:rsidRPr="00F67FD6">
        <w:rPr>
          <w:rFonts w:asciiTheme="majorBidi" w:hAnsiTheme="majorBidi" w:cstheme="majorBidi"/>
          <w:b/>
          <w:bCs/>
        </w:rPr>
        <w:lastRenderedPageBreak/>
        <w:t>EU-28</w:t>
      </w:r>
      <w:r w:rsidRPr="00F67FD6">
        <w:rPr>
          <w:rFonts w:asciiTheme="majorBidi" w:hAnsiTheme="majorBidi" w:cstheme="majorBidi"/>
        </w:rPr>
        <w:t>: Belgium, Bulgaria, Cyprus, Czechia, Denmark, Estonia, Finland, France, Greece, Netherlands, Croatia, Ireland, Lithuania, Latvia, Luxembourg, Hungary, Malta, Germany, P</w:t>
      </w:r>
      <w:r w:rsidRPr="00F67FD6">
        <w:rPr>
          <w:rFonts w:asciiTheme="majorBidi" w:hAnsiTheme="majorBidi" w:cstheme="majorBidi"/>
        </w:rPr>
        <w:t>o</w:t>
      </w:r>
      <w:r w:rsidRPr="00F67FD6">
        <w:rPr>
          <w:rFonts w:asciiTheme="majorBidi" w:hAnsiTheme="majorBidi" w:cstheme="majorBidi"/>
        </w:rPr>
        <w:t>land, Portugal, Austria, Romania, Slovakia, Slovenia, United Kingdom, Spain, Sweden, ­Italy;</w:t>
      </w:r>
    </w:p>
    <w:p w:rsidR="00540C70" w:rsidRPr="00F67FD6" w:rsidRDefault="00540C70">
      <w:pPr>
        <w:pStyle w:val="bodytextEN"/>
        <w:rPr>
          <w:rFonts w:asciiTheme="majorBidi" w:hAnsiTheme="majorBidi" w:cstheme="majorBidi"/>
          <w:lang w:val="de-DE"/>
        </w:rPr>
      </w:pPr>
      <w:r w:rsidRPr="00F67FD6">
        <w:rPr>
          <w:rFonts w:asciiTheme="majorBidi" w:hAnsiTheme="majorBidi" w:cstheme="majorBidi"/>
          <w:b/>
          <w:bCs/>
          <w:lang w:val="de-DE"/>
        </w:rPr>
        <w:t>EFTA</w:t>
      </w:r>
      <w:r w:rsidRPr="00F67FD6">
        <w:rPr>
          <w:rFonts w:asciiTheme="majorBidi" w:hAnsiTheme="majorBidi" w:cstheme="majorBidi"/>
          <w:lang w:val="de-DE"/>
        </w:rPr>
        <w:t>: Iceland, Liechtenstein, Norway, Switzerland;</w:t>
      </w:r>
    </w:p>
    <w:p w:rsidR="00540C70" w:rsidRPr="00F67FD6" w:rsidRDefault="00540C70">
      <w:pPr>
        <w:pStyle w:val="bodytextEN"/>
        <w:rPr>
          <w:rFonts w:asciiTheme="majorBidi" w:hAnsiTheme="majorBidi" w:cstheme="majorBidi"/>
        </w:rPr>
      </w:pPr>
      <w:r w:rsidRPr="00F67FD6">
        <w:rPr>
          <w:rFonts w:asciiTheme="majorBidi" w:hAnsiTheme="majorBidi" w:cstheme="majorBidi"/>
          <w:b/>
          <w:bCs/>
        </w:rPr>
        <w:t>OECD</w:t>
      </w:r>
      <w:r w:rsidRPr="00F67FD6">
        <w:rPr>
          <w:rFonts w:asciiTheme="majorBidi" w:hAnsiTheme="majorBidi" w:cstheme="majorBidi"/>
        </w:rPr>
        <w:t>: Australia, Belgium, Czechia, Denmark, Estonia, Finland, France, Greece, Chile, Netherlands, Ireland, Iceland, Israel, Japan, Canada, Republic of Korea, Lithuania (since year 2018), Latvia (since year 2016), Luxembourg, Hungary, Mexico, Germany, Norway, New Ze</w:t>
      </w:r>
      <w:r w:rsidRPr="00F67FD6">
        <w:rPr>
          <w:rFonts w:asciiTheme="majorBidi" w:hAnsiTheme="majorBidi" w:cstheme="majorBidi"/>
        </w:rPr>
        <w:t>a</w:t>
      </w:r>
      <w:r w:rsidRPr="00F67FD6">
        <w:rPr>
          <w:rFonts w:asciiTheme="majorBidi" w:hAnsiTheme="majorBidi" w:cstheme="majorBidi"/>
        </w:rPr>
        <w:t>land, Poland, Portugal, Austria, Slovakia, Slovenia, United Kingdom, United States of America, Spain, Switzerland, Sweden, Italy, Turkey.</w:t>
      </w:r>
    </w:p>
    <w:p w:rsidR="00540C70" w:rsidRPr="00F67FD6" w:rsidRDefault="00540C70">
      <w:pPr>
        <w:pStyle w:val="podnadpis"/>
        <w:rPr>
          <w:rFonts w:asciiTheme="majorBidi" w:hAnsiTheme="majorBidi" w:cstheme="majorBidi"/>
        </w:rPr>
      </w:pPr>
      <w:r w:rsidRPr="00F67FD6">
        <w:rPr>
          <w:rFonts w:asciiTheme="majorBidi" w:hAnsiTheme="majorBidi" w:cstheme="majorBidi"/>
        </w:rPr>
        <w:t>Source</w:t>
      </w:r>
    </w:p>
    <w:p w:rsidR="00540C70" w:rsidRPr="00F67FD6" w:rsidRDefault="00540C70">
      <w:pPr>
        <w:pStyle w:val="bodytextEN"/>
        <w:rPr>
          <w:rFonts w:asciiTheme="majorBidi" w:hAnsiTheme="majorBidi" w:cstheme="majorBidi"/>
        </w:rPr>
      </w:pPr>
      <w:r w:rsidRPr="00F67FD6">
        <w:rPr>
          <w:rFonts w:asciiTheme="majorBidi" w:hAnsiTheme="majorBidi" w:cstheme="majorBidi"/>
        </w:rPr>
        <w:t>Foreign trade statistics is composed of data from EXTRASTAT system and INTRASTAT system. EXTRASTAT system furnishes information on trade in goods with non-EU countries obtained mainly from customs declarations. INTRASTAT system contains information on trade in goods with EU Member States which is obtained mainly by statistical surveys.</w:t>
      </w:r>
    </w:p>
    <w:p w:rsidR="00540C70" w:rsidRPr="00F67FD6" w:rsidRDefault="00540C70">
      <w:pPr>
        <w:pStyle w:val="bodytextEN"/>
        <w:rPr>
          <w:rFonts w:asciiTheme="majorBidi" w:hAnsiTheme="majorBidi" w:cstheme="majorBidi"/>
        </w:rPr>
      </w:pPr>
      <w:r w:rsidRPr="00F67FD6">
        <w:rPr>
          <w:rFonts w:asciiTheme="majorBidi" w:hAnsiTheme="majorBidi" w:cstheme="majorBidi"/>
        </w:rPr>
        <w:t>Data sources on trade with non-EU countries are customs declarations, the collection and processing of which is ensured by the Customs Section of the Financial Directorate of the Sl</w:t>
      </w:r>
      <w:r w:rsidRPr="00F67FD6">
        <w:rPr>
          <w:rFonts w:asciiTheme="majorBidi" w:hAnsiTheme="majorBidi" w:cstheme="majorBidi"/>
        </w:rPr>
        <w:t>o</w:t>
      </w:r>
      <w:r w:rsidRPr="00F67FD6">
        <w:rPr>
          <w:rFonts w:asciiTheme="majorBidi" w:hAnsiTheme="majorBidi" w:cstheme="majorBidi"/>
        </w:rPr>
        <w:t xml:space="preserve">vak Republic in accordance with the legal regulations of the Union and the Slovak Republic. </w:t>
      </w:r>
    </w:p>
    <w:p w:rsidR="00540C70" w:rsidRPr="00F67FD6" w:rsidRDefault="00540C70">
      <w:pPr>
        <w:pStyle w:val="bodytextEN"/>
        <w:rPr>
          <w:rFonts w:asciiTheme="majorBidi" w:hAnsiTheme="majorBidi" w:cstheme="majorBidi"/>
        </w:rPr>
      </w:pPr>
      <w:r w:rsidRPr="00F67FD6">
        <w:rPr>
          <w:rFonts w:asciiTheme="majorBidi" w:hAnsiTheme="majorBidi" w:cstheme="majorBidi"/>
        </w:rPr>
        <w:t>The main data sources on trade with EU member states are INTRASTAT ­declarations pr</w:t>
      </w:r>
      <w:r w:rsidRPr="00F67FD6">
        <w:rPr>
          <w:rFonts w:asciiTheme="majorBidi" w:hAnsiTheme="majorBidi" w:cstheme="majorBidi"/>
        </w:rPr>
        <w:t>o</w:t>
      </w:r>
      <w:r w:rsidRPr="00F67FD6">
        <w:rPr>
          <w:rFonts w:asciiTheme="majorBidi" w:hAnsiTheme="majorBidi" w:cstheme="majorBidi"/>
        </w:rPr>
        <w:t>vided by consignees and consignors of goods. Collection and processing of information on trade between EU Member States is carried out according to Regulation (EC) No 638/2004 of the European Parliament and of the Council as amended. Under the Slovak legislation, this area is regulated by Decree of the SO SR No 250/2017 Coll. Collection of INTRASTAT-SK declar</w:t>
      </w:r>
      <w:r w:rsidRPr="00F67FD6">
        <w:rPr>
          <w:rFonts w:asciiTheme="majorBidi" w:hAnsiTheme="majorBidi" w:cstheme="majorBidi"/>
        </w:rPr>
        <w:t>a</w:t>
      </w:r>
      <w:r w:rsidRPr="00F67FD6">
        <w:rPr>
          <w:rFonts w:asciiTheme="majorBidi" w:hAnsiTheme="majorBidi" w:cstheme="majorBidi"/>
        </w:rPr>
        <w:t>tions submitted by providers of statistical information is provided by the Financial Directorate of the SR according to mentioned legislation and in co-operation with the Statistical Office of the SR, which is responsible for the production and dissemination of foreign trade statistics. Stati</w:t>
      </w:r>
      <w:r w:rsidRPr="00F67FD6">
        <w:rPr>
          <w:rFonts w:asciiTheme="majorBidi" w:hAnsiTheme="majorBidi" w:cstheme="majorBidi"/>
        </w:rPr>
        <w:t>s</w:t>
      </w:r>
      <w:r w:rsidRPr="00F67FD6">
        <w:rPr>
          <w:rFonts w:asciiTheme="majorBidi" w:hAnsiTheme="majorBidi" w:cstheme="majorBidi"/>
        </w:rPr>
        <w:t>tics on trade with EU member states covers data from customs declarations prescribed for the EU´s territories where is not applied the common system of VAT. Imputations for trade realised by reporting units which defaulted their reporting obligation and adjustments for trade of r</w:t>
      </w:r>
      <w:r w:rsidRPr="00F67FD6">
        <w:rPr>
          <w:rFonts w:asciiTheme="majorBidi" w:hAnsiTheme="majorBidi" w:cstheme="majorBidi"/>
        </w:rPr>
        <w:t>e</w:t>
      </w:r>
      <w:r w:rsidRPr="00F67FD6">
        <w:rPr>
          <w:rFonts w:asciiTheme="majorBidi" w:hAnsiTheme="majorBidi" w:cstheme="majorBidi"/>
        </w:rPr>
        <w:t>porting units which have no reporting obligation due to volume of their trade with goods are used as another source of data. These data are calculated by the Statistical Office of the SR as an authority responsible for the foreign trade data processing and publishing.</w:t>
      </w:r>
    </w:p>
    <w:p w:rsidR="00540C70" w:rsidRPr="00F67FD6" w:rsidRDefault="00540C70">
      <w:pPr>
        <w:pStyle w:val="bodytextEN"/>
        <w:rPr>
          <w:rFonts w:asciiTheme="majorBidi" w:hAnsiTheme="majorBidi" w:cstheme="majorBidi"/>
        </w:rPr>
      </w:pPr>
      <w:r w:rsidRPr="00F67FD6">
        <w:rPr>
          <w:rFonts w:asciiTheme="majorBidi" w:hAnsiTheme="majorBidi" w:cstheme="majorBidi"/>
        </w:rPr>
        <w:t>More detailed information on foreign trade can be obtained in monthly publication Foreign Trade of the Slovak Republic and in the annual publication of Development of Foreign Trade in the Slovak Republic 2015 – 2019.</w:t>
      </w:r>
      <w:bookmarkEnd w:id="0"/>
    </w:p>
    <w:sectPr w:rsidR="00540C70" w:rsidRPr="00F67FD6">
      <w:pgSz w:w="9354" w:h="13209"/>
      <w:pgMar w:top="1134" w:right="850" w:bottom="1020" w:left="794"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inion Pro">
    <w:panose1 w:val="00000000000000000000"/>
    <w:charset w:val="00"/>
    <w:family w:val="roman"/>
    <w:notTrueType/>
    <w:pitch w:val="variable"/>
    <w:sig w:usb0="00000003" w:usb1="00000000" w:usb2="00000000" w:usb3="00000000" w:csb0="00000001" w:csb1="00000000"/>
  </w:font>
  <w:font w:name="Nimbus Roman D OT">
    <w:altName w:val="Arial"/>
    <w:panose1 w:val="00000000000000000000"/>
    <w:charset w:val="00"/>
    <w:family w:val="moder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grammar="clean"/>
  <w:defaultTabStop w:val="720"/>
  <w:autoHyphenation/>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6D51"/>
    <w:rsid w:val="00536D51"/>
    <w:rsid w:val="00540C70"/>
    <w:rsid w:val="00F67FD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14AB6FE-633E-41E1-BA60-147690819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semiHidden="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rFonts w:cs="Arial"/>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Bezodstavcovhostylu">
    <w:name w:val="[Bez odstavcového stylu]"/>
    <w:pPr>
      <w:widowControl w:val="0"/>
      <w:autoSpaceDE w:val="0"/>
      <w:autoSpaceDN w:val="0"/>
      <w:adjustRightInd w:val="0"/>
      <w:spacing w:after="0" w:line="288" w:lineRule="auto"/>
      <w:textAlignment w:val="center"/>
    </w:pPr>
    <w:rPr>
      <w:rFonts w:ascii="Minion Pro" w:hAnsi="Minion Pro" w:cs="Minion Pro"/>
      <w:color w:val="000000"/>
      <w:sz w:val="24"/>
      <w:szCs w:val="24"/>
      <w:lang w:val="en-GB"/>
    </w:rPr>
  </w:style>
  <w:style w:type="paragraph" w:customStyle="1" w:styleId="nadpis">
    <w:name w:val="nadpis"/>
    <w:basedOn w:val="Bezodstavcovhostylu"/>
    <w:uiPriority w:val="99"/>
    <w:pPr>
      <w:tabs>
        <w:tab w:val="left" w:pos="340"/>
      </w:tabs>
      <w:suppressAutoHyphens/>
      <w:spacing w:after="440"/>
      <w:textAlignment w:val="top"/>
    </w:pPr>
    <w:rPr>
      <w:rFonts w:ascii="Nimbus Roman D OT" w:hAnsi="Nimbus Roman D OT" w:cs="Nimbus Roman D OT"/>
      <w:b/>
      <w:bCs/>
      <w:caps/>
      <w:lang w:val="en-US"/>
    </w:rPr>
  </w:style>
  <w:style w:type="paragraph" w:customStyle="1" w:styleId="podnadpis">
    <w:name w:val="podnadpis"/>
    <w:basedOn w:val="Bezodstavcovhostylu"/>
    <w:uiPriority w:val="99"/>
    <w:pPr>
      <w:keepNext/>
      <w:suppressAutoHyphens/>
      <w:spacing w:before="220" w:after="220" w:line="220" w:lineRule="atLeast"/>
      <w:textAlignment w:val="top"/>
    </w:pPr>
    <w:rPr>
      <w:rFonts w:ascii="Nimbus Roman D OT" w:hAnsi="Nimbus Roman D OT" w:cs="Nimbus Roman D OT"/>
      <w:b/>
      <w:bCs/>
      <w:sz w:val="20"/>
      <w:szCs w:val="20"/>
      <w:lang w:val="en-US"/>
    </w:rPr>
  </w:style>
  <w:style w:type="paragraph" w:styleId="Zkladntext">
    <w:name w:val="Body Text"/>
    <w:basedOn w:val="Bezodstavcovhostylu"/>
    <w:link w:val="ZkladntextChar"/>
    <w:uiPriority w:val="99"/>
    <w:pPr>
      <w:spacing w:line="220" w:lineRule="atLeast"/>
      <w:ind w:firstLine="200"/>
      <w:jc w:val="both"/>
      <w:textAlignment w:val="baseline"/>
    </w:pPr>
    <w:rPr>
      <w:rFonts w:ascii="Nimbus Roman D OT" w:hAnsi="Nimbus Roman D OT" w:cs="Nimbus Roman D OT"/>
      <w:sz w:val="20"/>
      <w:szCs w:val="20"/>
      <w:lang w:val="sk-SK"/>
    </w:rPr>
  </w:style>
  <w:style w:type="character" w:customStyle="1" w:styleId="ZkladntextChar">
    <w:name w:val="Základný text Char"/>
    <w:basedOn w:val="Predvolenpsmoodseku"/>
    <w:link w:val="Zkladntext"/>
    <w:uiPriority w:val="99"/>
    <w:semiHidden/>
    <w:locked/>
    <w:rPr>
      <w:rFonts w:cs="Times New Roman"/>
    </w:rPr>
  </w:style>
  <w:style w:type="paragraph" w:customStyle="1" w:styleId="bodytextEN">
    <w:name w:val="body text EN"/>
    <w:basedOn w:val="Zkladntext"/>
    <w:uiPriority w:val="99"/>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910</Words>
  <Characters>5190</Characters>
  <Application>Microsoft Office Word</Application>
  <DocSecurity>0</DocSecurity>
  <Lines>43</Lines>
  <Paragraphs>12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Cerulíková Anna Ing.</dc:creator>
  <cp:keywords/>
  <dc:description/>
  <cp:lastModifiedBy>Cerulíková Anna Ing.</cp:lastModifiedBy>
  <cp:revision>2</cp:revision>
  <dcterms:created xsi:type="dcterms:W3CDTF">2021-02-02T08:45:00Z</dcterms:created>
  <dcterms:modified xsi:type="dcterms:W3CDTF">2021-02-02T08:45:00Z</dcterms:modified>
</cp:coreProperties>
</file>