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490B" w:rsidRPr="00B61C5D" w:rsidRDefault="00E9490B">
      <w:pPr>
        <w:pStyle w:val="nadpis"/>
        <w:rPr>
          <w:rFonts w:asciiTheme="majorBidi" w:hAnsiTheme="majorBidi" w:cstheme="majorBidi"/>
          <w:lang w:val="en-GB"/>
        </w:rPr>
      </w:pPr>
      <w:bookmarkStart w:id="0" w:name="_GoBack"/>
      <w:r w:rsidRPr="00B61C5D">
        <w:rPr>
          <w:rFonts w:asciiTheme="majorBidi" w:hAnsiTheme="majorBidi" w:cstheme="majorBidi"/>
          <w:lang w:val="en-GB"/>
        </w:rPr>
        <w:t>13. FIXED ASSETS</w:t>
      </w:r>
    </w:p>
    <w:p w:rsidR="00E9490B" w:rsidRPr="00B61C5D" w:rsidRDefault="00E9490B">
      <w:pPr>
        <w:pStyle w:val="podnadpis"/>
        <w:rPr>
          <w:rFonts w:asciiTheme="majorBidi" w:hAnsiTheme="majorBidi" w:cstheme="majorBidi"/>
          <w:lang w:val="en-GB"/>
        </w:rPr>
      </w:pPr>
      <w:r w:rsidRPr="00B61C5D">
        <w:rPr>
          <w:rFonts w:asciiTheme="majorBidi" w:hAnsiTheme="majorBidi" w:cstheme="majorBidi"/>
          <w:lang w:val="en-GB"/>
        </w:rPr>
        <w:t>Methodological notes</w:t>
      </w:r>
    </w:p>
    <w:p w:rsidR="00E9490B" w:rsidRPr="00B61C5D" w:rsidRDefault="00E9490B">
      <w:pPr>
        <w:pStyle w:val="bodytextEN"/>
        <w:rPr>
          <w:rFonts w:asciiTheme="majorBidi" w:hAnsiTheme="majorBidi" w:cstheme="majorBidi"/>
        </w:rPr>
      </w:pPr>
      <w:r w:rsidRPr="00B61C5D">
        <w:rPr>
          <w:rFonts w:asciiTheme="majorBidi" w:hAnsiTheme="majorBidi" w:cstheme="majorBidi"/>
        </w:rPr>
        <w:t xml:space="preserve">This chapter provides information on fixed assets according to the ESA 2010. </w:t>
      </w:r>
    </w:p>
    <w:p w:rsidR="008311F1" w:rsidRPr="00B61C5D" w:rsidRDefault="00E9490B">
      <w:pPr>
        <w:pStyle w:val="bodytextEN"/>
        <w:rPr>
          <w:rFonts w:asciiTheme="majorBidi" w:hAnsiTheme="majorBidi" w:cstheme="majorBidi"/>
        </w:rPr>
      </w:pPr>
      <w:r w:rsidRPr="00B61C5D">
        <w:rPr>
          <w:rFonts w:asciiTheme="majorBidi" w:hAnsiTheme="majorBidi" w:cstheme="majorBidi"/>
          <w:b/>
          <w:bCs/>
        </w:rPr>
        <w:t>Fixed assets</w:t>
      </w:r>
      <w:r w:rsidRPr="00B61C5D">
        <w:rPr>
          <w:rFonts w:asciiTheme="majorBidi" w:hAnsiTheme="majorBidi" w:cstheme="majorBidi"/>
        </w:rPr>
        <w:t xml:space="preserve"> (capital assets) data cover the value of the assets of all legal entities. They do not include the value of fixed assets of population and fixed assets owning by churches in case that the legal procedure and pricing has not been finished. The data on fixed assets for 2018 are pr</w:t>
      </w:r>
      <w:r w:rsidRPr="00B61C5D">
        <w:rPr>
          <w:rFonts w:asciiTheme="majorBidi" w:hAnsiTheme="majorBidi" w:cstheme="majorBidi"/>
        </w:rPr>
        <w:t>e</w:t>
      </w:r>
      <w:r w:rsidRPr="00B61C5D">
        <w:rPr>
          <w:rFonts w:asciiTheme="majorBidi" w:hAnsiTheme="majorBidi" w:cstheme="majorBidi"/>
        </w:rPr>
        <w:t xml:space="preserve">sented for the economy in total in the summary table containing basic indicators. </w:t>
      </w:r>
    </w:p>
    <w:p w:rsidR="00E9490B" w:rsidRPr="00B61C5D" w:rsidRDefault="00E9490B">
      <w:pPr>
        <w:pStyle w:val="bodytextEN"/>
        <w:rPr>
          <w:rFonts w:asciiTheme="majorBidi" w:hAnsiTheme="majorBidi" w:cstheme="majorBidi"/>
        </w:rPr>
      </w:pPr>
      <w:r w:rsidRPr="00B61C5D">
        <w:rPr>
          <w:rFonts w:asciiTheme="majorBidi" w:hAnsiTheme="majorBidi" w:cstheme="majorBidi"/>
          <w:spacing w:val="-2"/>
        </w:rPr>
        <w:t xml:space="preserve">Branch classification is given according </w:t>
      </w:r>
      <w:r w:rsidRPr="00B61C5D">
        <w:rPr>
          <w:rFonts w:asciiTheme="majorBidi" w:hAnsiTheme="majorBidi" w:cstheme="majorBidi"/>
        </w:rPr>
        <w:t>to main economic activity of reporting units. Owne</w:t>
      </w:r>
      <w:r w:rsidRPr="00B61C5D">
        <w:rPr>
          <w:rFonts w:asciiTheme="majorBidi" w:hAnsiTheme="majorBidi" w:cstheme="majorBidi"/>
        </w:rPr>
        <w:t>r</w:t>
      </w:r>
      <w:r w:rsidRPr="00B61C5D">
        <w:rPr>
          <w:rFonts w:asciiTheme="majorBidi" w:hAnsiTheme="majorBidi" w:cstheme="majorBidi"/>
        </w:rPr>
        <w:t>ship is an aggregation of included owners of fixed assets into particular groups according to the main kind of ownership.</w:t>
      </w:r>
    </w:p>
    <w:p w:rsidR="00E9490B" w:rsidRPr="00B61C5D" w:rsidRDefault="00E9490B">
      <w:pPr>
        <w:pStyle w:val="bodytextEN"/>
        <w:rPr>
          <w:rFonts w:asciiTheme="majorBidi" w:hAnsiTheme="majorBidi" w:cstheme="majorBidi"/>
        </w:rPr>
      </w:pPr>
      <w:r w:rsidRPr="00B61C5D">
        <w:rPr>
          <w:rFonts w:asciiTheme="majorBidi" w:hAnsiTheme="majorBidi" w:cstheme="majorBidi"/>
        </w:rPr>
        <w:t>In line with ESA 2010 methodology the fixed assets at replacement prices express the price, for which the fixed assets would be acquired as new in time of accounting.</w:t>
      </w:r>
    </w:p>
    <w:p w:rsidR="00E9490B" w:rsidRPr="00B61C5D" w:rsidRDefault="00E9490B">
      <w:pPr>
        <w:pStyle w:val="podnadpis"/>
        <w:rPr>
          <w:rFonts w:asciiTheme="majorBidi" w:hAnsiTheme="majorBidi" w:cstheme="majorBidi"/>
          <w:lang w:val="en-GB"/>
        </w:rPr>
      </w:pPr>
      <w:r w:rsidRPr="00B61C5D">
        <w:rPr>
          <w:rFonts w:asciiTheme="majorBidi" w:hAnsiTheme="majorBidi" w:cstheme="majorBidi"/>
          <w:lang w:val="en-GB"/>
        </w:rPr>
        <w:t>Definitions</w:t>
      </w:r>
    </w:p>
    <w:p w:rsidR="00E9490B" w:rsidRPr="00B61C5D" w:rsidRDefault="00E9490B">
      <w:pPr>
        <w:pStyle w:val="bodytextEN"/>
        <w:rPr>
          <w:rFonts w:asciiTheme="majorBidi" w:hAnsiTheme="majorBidi" w:cstheme="majorBidi"/>
        </w:rPr>
      </w:pPr>
      <w:r w:rsidRPr="00B61C5D">
        <w:rPr>
          <w:rFonts w:asciiTheme="majorBidi" w:hAnsiTheme="majorBidi" w:cstheme="majorBidi"/>
          <w:b/>
          <w:bCs/>
        </w:rPr>
        <w:t>Fixed assets</w:t>
      </w:r>
      <w:r w:rsidRPr="00B61C5D">
        <w:rPr>
          <w:rFonts w:asciiTheme="majorBidi" w:hAnsiTheme="majorBidi" w:cstheme="majorBidi"/>
        </w:rPr>
        <w:t xml:space="preserve"> consist of all assets of intangible and tangible character on which an economic subject has the right of ownership or right of management. Fixed assets consist of two groups of assets: intangible and tangible.</w:t>
      </w:r>
    </w:p>
    <w:p w:rsidR="00E9490B" w:rsidRPr="00B61C5D" w:rsidRDefault="00E9490B">
      <w:pPr>
        <w:pStyle w:val="bodytextEN"/>
        <w:rPr>
          <w:rFonts w:asciiTheme="majorBidi" w:hAnsiTheme="majorBidi" w:cstheme="majorBidi"/>
        </w:rPr>
      </w:pPr>
      <w:r w:rsidRPr="00B61C5D">
        <w:rPr>
          <w:rFonts w:asciiTheme="majorBidi" w:hAnsiTheme="majorBidi" w:cstheme="majorBidi"/>
          <w:b/>
          <w:bCs/>
        </w:rPr>
        <w:t>Intangible fixed assets</w:t>
      </w:r>
      <w:r w:rsidRPr="00B61C5D">
        <w:rPr>
          <w:rFonts w:asciiTheme="majorBidi" w:hAnsiTheme="majorBidi" w:cstheme="majorBidi"/>
        </w:rPr>
        <w:t xml:space="preserve"> consist of the costs of the research and development, software and ot</w:t>
      </w:r>
      <w:r w:rsidRPr="00B61C5D">
        <w:rPr>
          <w:rFonts w:asciiTheme="majorBidi" w:hAnsiTheme="majorBidi" w:cstheme="majorBidi"/>
        </w:rPr>
        <w:t>h</w:t>
      </w:r>
      <w:r w:rsidRPr="00B61C5D">
        <w:rPr>
          <w:rFonts w:asciiTheme="majorBidi" w:hAnsiTheme="majorBidi" w:cstheme="majorBidi"/>
        </w:rPr>
        <w:t xml:space="preserve">er intangible fixed assets, </w:t>
      </w:r>
      <w:proofErr w:type="gramStart"/>
      <w:r w:rsidRPr="00B61C5D">
        <w:rPr>
          <w:rFonts w:asciiTheme="majorBidi" w:hAnsiTheme="majorBidi" w:cstheme="majorBidi"/>
        </w:rPr>
        <w:t>whose</w:t>
      </w:r>
      <w:proofErr w:type="gramEnd"/>
      <w:r w:rsidRPr="00B61C5D">
        <w:rPr>
          <w:rFonts w:asciiTheme="majorBidi" w:hAnsiTheme="majorBidi" w:cstheme="majorBidi"/>
        </w:rPr>
        <w:t xml:space="preserve"> the service life is longer than 1 year. </w:t>
      </w:r>
    </w:p>
    <w:p w:rsidR="008311F1" w:rsidRPr="00B61C5D" w:rsidRDefault="00E9490B">
      <w:pPr>
        <w:pStyle w:val="bodytextEN"/>
        <w:rPr>
          <w:rFonts w:asciiTheme="majorBidi" w:hAnsiTheme="majorBidi" w:cstheme="majorBidi"/>
        </w:rPr>
      </w:pPr>
      <w:r w:rsidRPr="00B61C5D">
        <w:rPr>
          <w:rFonts w:asciiTheme="majorBidi" w:hAnsiTheme="majorBidi" w:cstheme="majorBidi"/>
          <w:b/>
          <w:bCs/>
        </w:rPr>
        <w:t>Tangible fixed assets</w:t>
      </w:r>
      <w:r w:rsidRPr="00B61C5D">
        <w:rPr>
          <w:rFonts w:asciiTheme="majorBidi" w:hAnsiTheme="majorBidi" w:cstheme="majorBidi"/>
        </w:rPr>
        <w:t xml:space="preserve"> are the real estates and separate movables or sets of movable things and the operational and technological function is longer than one year.</w:t>
      </w:r>
    </w:p>
    <w:p w:rsidR="008311F1" w:rsidRPr="00B61C5D" w:rsidRDefault="00E9490B">
      <w:pPr>
        <w:pStyle w:val="bodytextEN"/>
        <w:rPr>
          <w:rFonts w:asciiTheme="majorBidi" w:hAnsiTheme="majorBidi" w:cstheme="majorBidi"/>
        </w:rPr>
      </w:pPr>
      <w:r w:rsidRPr="00B61C5D">
        <w:rPr>
          <w:rFonts w:asciiTheme="majorBidi" w:hAnsiTheme="majorBidi" w:cstheme="majorBidi"/>
          <w:b/>
          <w:bCs/>
        </w:rPr>
        <w:t>Fixed assets at purchasing price</w:t>
      </w:r>
      <w:r w:rsidRPr="00B61C5D">
        <w:rPr>
          <w:rFonts w:asciiTheme="majorBidi" w:hAnsiTheme="majorBidi" w:cstheme="majorBidi"/>
        </w:rPr>
        <w:t xml:space="preserve"> express the value of their acquisition including costs spend for their acquisition. It can be a purchase of new or fixed assets used before by another subject, own-account production, restitution of property based on legal regulations (restitution, legal decisions), dedication, transfers between corporations. The change is, on the other hand, infl</w:t>
      </w:r>
      <w:r w:rsidRPr="00B61C5D">
        <w:rPr>
          <w:rFonts w:asciiTheme="majorBidi" w:hAnsiTheme="majorBidi" w:cstheme="majorBidi"/>
        </w:rPr>
        <w:t>u</w:t>
      </w:r>
      <w:r w:rsidRPr="00B61C5D">
        <w:rPr>
          <w:rFonts w:asciiTheme="majorBidi" w:hAnsiTheme="majorBidi" w:cstheme="majorBidi"/>
        </w:rPr>
        <w:t>enced by disposals of fixed assets occurring during the year, e.g. a sale, transfers by legal regul</w:t>
      </w:r>
      <w:r w:rsidRPr="00B61C5D">
        <w:rPr>
          <w:rFonts w:asciiTheme="majorBidi" w:hAnsiTheme="majorBidi" w:cstheme="majorBidi"/>
        </w:rPr>
        <w:t>a</w:t>
      </w:r>
      <w:r w:rsidRPr="00B61C5D">
        <w:rPr>
          <w:rFonts w:asciiTheme="majorBidi" w:hAnsiTheme="majorBidi" w:cstheme="majorBidi"/>
        </w:rPr>
        <w:t>tions, liquidation of fixed assets caused by full depreciation or dedication of fixed assets to a</w:t>
      </w:r>
      <w:r w:rsidRPr="00B61C5D">
        <w:rPr>
          <w:rFonts w:asciiTheme="majorBidi" w:hAnsiTheme="majorBidi" w:cstheme="majorBidi"/>
        </w:rPr>
        <w:t>n</w:t>
      </w:r>
      <w:r w:rsidRPr="00B61C5D">
        <w:rPr>
          <w:rFonts w:asciiTheme="majorBidi" w:hAnsiTheme="majorBidi" w:cstheme="majorBidi"/>
        </w:rPr>
        <w:t>other corporation or subject.</w:t>
      </w:r>
    </w:p>
    <w:p w:rsidR="00E9490B" w:rsidRPr="00B61C5D" w:rsidRDefault="00E9490B">
      <w:pPr>
        <w:pStyle w:val="bodytextEN"/>
        <w:rPr>
          <w:rFonts w:asciiTheme="majorBidi" w:hAnsiTheme="majorBidi" w:cstheme="majorBidi"/>
        </w:rPr>
      </w:pPr>
      <w:r w:rsidRPr="00B61C5D">
        <w:rPr>
          <w:rFonts w:asciiTheme="majorBidi" w:hAnsiTheme="majorBidi" w:cstheme="majorBidi"/>
          <w:b/>
          <w:bCs/>
        </w:rPr>
        <w:t>Consumption of fixed</w:t>
      </w:r>
      <w:r w:rsidRPr="00B61C5D">
        <w:rPr>
          <w:rFonts w:asciiTheme="majorBidi" w:hAnsiTheme="majorBidi" w:cstheme="majorBidi"/>
        </w:rPr>
        <w:t xml:space="preserve"> </w:t>
      </w:r>
      <w:r w:rsidRPr="00B61C5D">
        <w:rPr>
          <w:rFonts w:asciiTheme="majorBidi" w:hAnsiTheme="majorBidi" w:cstheme="majorBidi"/>
          <w:b/>
          <w:bCs/>
        </w:rPr>
        <w:t xml:space="preserve">assets </w:t>
      </w:r>
      <w:r w:rsidRPr="00B61C5D">
        <w:rPr>
          <w:rFonts w:asciiTheme="majorBidi" w:hAnsiTheme="majorBidi" w:cstheme="majorBidi"/>
        </w:rPr>
        <w:t xml:space="preserve">represents the value of accumulated depreciation for individual years. </w:t>
      </w:r>
    </w:p>
    <w:p w:rsidR="008311F1" w:rsidRPr="00B61C5D" w:rsidRDefault="00E9490B">
      <w:pPr>
        <w:pStyle w:val="bodytextEN"/>
        <w:rPr>
          <w:rFonts w:asciiTheme="majorBidi" w:hAnsiTheme="majorBidi" w:cstheme="majorBidi"/>
        </w:rPr>
      </w:pPr>
      <w:r w:rsidRPr="00B61C5D">
        <w:rPr>
          <w:rFonts w:asciiTheme="majorBidi" w:hAnsiTheme="majorBidi" w:cstheme="majorBidi"/>
          <w:b/>
          <w:bCs/>
        </w:rPr>
        <w:t xml:space="preserve">Gross fixed assets </w:t>
      </w:r>
      <w:r w:rsidRPr="00B61C5D">
        <w:rPr>
          <w:rFonts w:asciiTheme="majorBidi" w:hAnsiTheme="majorBidi" w:cstheme="majorBidi"/>
        </w:rPr>
        <w:t>are the value of assets hold by producers before deducting of depreciation.</w:t>
      </w:r>
    </w:p>
    <w:p w:rsidR="008311F1" w:rsidRPr="00B61C5D" w:rsidRDefault="00E9490B">
      <w:pPr>
        <w:pStyle w:val="bodytextEN"/>
        <w:rPr>
          <w:rFonts w:asciiTheme="majorBidi" w:hAnsiTheme="majorBidi" w:cstheme="majorBidi"/>
        </w:rPr>
      </w:pPr>
      <w:r w:rsidRPr="00B61C5D">
        <w:rPr>
          <w:rFonts w:asciiTheme="majorBidi" w:hAnsiTheme="majorBidi" w:cstheme="majorBidi"/>
          <w:b/>
          <w:bCs/>
        </w:rPr>
        <w:t>Net fixed assets</w:t>
      </w:r>
      <w:r w:rsidRPr="00B61C5D">
        <w:rPr>
          <w:rFonts w:asciiTheme="majorBidi" w:hAnsiTheme="majorBidi" w:cstheme="majorBidi"/>
        </w:rPr>
        <w:t xml:space="preserve"> for national accounts purposes are derived from gross fixed assets by deduc</w:t>
      </w:r>
      <w:r w:rsidRPr="00B61C5D">
        <w:rPr>
          <w:rFonts w:asciiTheme="majorBidi" w:hAnsiTheme="majorBidi" w:cstheme="majorBidi"/>
        </w:rPr>
        <w:t>t</w:t>
      </w:r>
      <w:r w:rsidRPr="00B61C5D">
        <w:rPr>
          <w:rFonts w:asciiTheme="majorBidi" w:hAnsiTheme="majorBidi" w:cstheme="majorBidi"/>
        </w:rPr>
        <w:t>ing of the fixed assets consumption.</w:t>
      </w:r>
    </w:p>
    <w:p w:rsidR="00E9490B" w:rsidRPr="00B61C5D" w:rsidRDefault="00E9490B">
      <w:pPr>
        <w:pStyle w:val="podnadpis"/>
        <w:rPr>
          <w:rFonts w:asciiTheme="majorBidi" w:hAnsiTheme="majorBidi" w:cstheme="majorBidi"/>
          <w:lang w:val="en-GB"/>
        </w:rPr>
      </w:pPr>
      <w:r w:rsidRPr="00B61C5D">
        <w:rPr>
          <w:rFonts w:asciiTheme="majorBidi" w:hAnsiTheme="majorBidi" w:cstheme="majorBidi"/>
          <w:lang w:val="en-GB"/>
        </w:rPr>
        <w:t>Source</w:t>
      </w:r>
    </w:p>
    <w:p w:rsidR="00E9490B" w:rsidRPr="00B61C5D" w:rsidRDefault="00E9490B">
      <w:pPr>
        <w:pStyle w:val="Zkladntext"/>
        <w:rPr>
          <w:rFonts w:asciiTheme="majorBidi" w:hAnsiTheme="majorBidi" w:cstheme="majorBidi"/>
          <w:lang w:val="en-GB"/>
        </w:rPr>
      </w:pPr>
      <w:r w:rsidRPr="00B61C5D">
        <w:rPr>
          <w:rFonts w:asciiTheme="majorBidi" w:hAnsiTheme="majorBidi" w:cstheme="majorBidi"/>
          <w:lang w:val="en-GB"/>
        </w:rPr>
        <w:t xml:space="preserve">All published data are the result of the survey and calculations of the SO SR. </w:t>
      </w:r>
      <w:bookmarkEnd w:id="0"/>
    </w:p>
    <w:sectPr w:rsidR="00E9490B" w:rsidRPr="00B61C5D">
      <w:pgSz w:w="9354" w:h="13209"/>
      <w:pgMar w:top="1134" w:right="850" w:bottom="1020" w:left="794"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nion Pro">
    <w:panose1 w:val="00000000000000000000"/>
    <w:charset w:val="00"/>
    <w:family w:val="roman"/>
    <w:notTrueType/>
    <w:pitch w:val="variable"/>
    <w:sig w:usb0="00000003" w:usb1="00000000" w:usb2="00000000" w:usb3="00000000" w:csb0="00000001" w:csb1="00000000"/>
  </w:font>
  <w:font w:name="Nimbus Roman D OT">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clean"/>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11F1"/>
    <w:rsid w:val="008311F1"/>
    <w:rsid w:val="00B61C5D"/>
    <w:rsid w:val="00E9490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73A3EE9-4E12-49D4-819D-AD1A50A4A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cs="Ari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ezodstavcovhostylu">
    <w:name w:val="[Bez odstavcového stylu]"/>
    <w:pPr>
      <w:widowControl w:val="0"/>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nadpis">
    <w:name w:val="nadpis"/>
    <w:basedOn w:val="Bezodstavcovhostylu"/>
    <w:uiPriority w:val="99"/>
    <w:pPr>
      <w:tabs>
        <w:tab w:val="left" w:pos="340"/>
      </w:tabs>
      <w:suppressAutoHyphens/>
      <w:spacing w:after="440"/>
      <w:textAlignment w:val="top"/>
    </w:pPr>
    <w:rPr>
      <w:rFonts w:ascii="Nimbus Roman D OT" w:hAnsi="Nimbus Roman D OT" w:cs="Nimbus Roman D OT"/>
      <w:b/>
      <w:bCs/>
      <w:caps/>
      <w:lang w:val="en-US"/>
    </w:rPr>
  </w:style>
  <w:style w:type="paragraph" w:customStyle="1" w:styleId="podnadpis">
    <w:name w:val="podnadpis"/>
    <w:basedOn w:val="Bezodstavcovhostylu"/>
    <w:uiPriority w:val="99"/>
    <w:pPr>
      <w:keepNext/>
      <w:suppressAutoHyphens/>
      <w:spacing w:before="220" w:after="220" w:line="220" w:lineRule="atLeast"/>
      <w:textAlignment w:val="top"/>
    </w:pPr>
    <w:rPr>
      <w:rFonts w:ascii="Nimbus Roman D OT" w:hAnsi="Nimbus Roman D OT" w:cs="Nimbus Roman D OT"/>
      <w:b/>
      <w:bCs/>
      <w:sz w:val="20"/>
      <w:szCs w:val="20"/>
      <w:lang w:val="en-US"/>
    </w:rPr>
  </w:style>
  <w:style w:type="paragraph" w:styleId="Zkladntext">
    <w:name w:val="Body Text"/>
    <w:basedOn w:val="Bezodstavcovhostylu"/>
    <w:link w:val="ZkladntextChar"/>
    <w:uiPriority w:val="99"/>
    <w:pPr>
      <w:spacing w:line="220" w:lineRule="atLeast"/>
      <w:ind w:firstLine="200"/>
      <w:jc w:val="both"/>
      <w:textAlignment w:val="baseline"/>
    </w:pPr>
    <w:rPr>
      <w:rFonts w:ascii="Nimbus Roman D OT" w:hAnsi="Nimbus Roman D OT" w:cs="Nimbus Roman D OT"/>
      <w:sz w:val="20"/>
      <w:szCs w:val="20"/>
      <w:lang w:val="sk-SK"/>
    </w:rPr>
  </w:style>
  <w:style w:type="character" w:customStyle="1" w:styleId="ZkladntextChar">
    <w:name w:val="Základný text Char"/>
    <w:basedOn w:val="Predvolenpsmoodseku"/>
    <w:link w:val="Zkladntext"/>
    <w:uiPriority w:val="99"/>
    <w:semiHidden/>
    <w:locked/>
    <w:rPr>
      <w:rFonts w:cs="Times New Roman"/>
    </w:rPr>
  </w:style>
  <w:style w:type="paragraph" w:customStyle="1" w:styleId="bodytextEN">
    <w:name w:val="body text EN"/>
    <w:basedOn w:val="Zkladntext"/>
    <w:uiPriority w:val="9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367</Words>
  <Characters>2096</Characters>
  <Application>Microsoft Office Word</Application>
  <DocSecurity>0</DocSecurity>
  <Lines>17</Lines>
  <Paragraphs>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Cerulíková Anna Ing.</dc:creator>
  <cp:keywords/>
  <dc:description/>
  <cp:lastModifiedBy>Cerulíková Anna Ing.</cp:lastModifiedBy>
  <cp:revision>2</cp:revision>
  <dcterms:created xsi:type="dcterms:W3CDTF">2021-02-02T08:47:00Z</dcterms:created>
  <dcterms:modified xsi:type="dcterms:W3CDTF">2021-02-02T08:47:00Z</dcterms:modified>
</cp:coreProperties>
</file>