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7148B0" w:rsidRDefault="007148B0">
      <w:pPr>
        <w:pStyle w:val="nadpis"/>
        <w:rPr>
          <w:rFonts w:asciiTheme="majorBidi" w:hAnsiTheme="majorBidi" w:cstheme="majorBidi"/>
          <w:lang w:val="sk-SK"/>
        </w:rPr>
      </w:pPr>
      <w:bookmarkStart w:id="0" w:name="_GoBack"/>
      <w:r w:rsidRPr="007148B0">
        <w:rPr>
          <w:rFonts w:asciiTheme="majorBidi" w:hAnsiTheme="majorBidi" w:cstheme="majorBidi"/>
          <w:lang w:val="sk-SK"/>
        </w:rPr>
        <w:t>13. DLHODOBÝ MAJETOK</w:t>
      </w:r>
    </w:p>
    <w:p w:rsidR="00000000" w:rsidRPr="007148B0" w:rsidRDefault="007148B0">
      <w:pPr>
        <w:pStyle w:val="podnadpis"/>
        <w:rPr>
          <w:rFonts w:asciiTheme="majorBidi" w:hAnsiTheme="majorBidi" w:cstheme="majorBidi"/>
          <w:lang w:val="sk-SK"/>
        </w:rPr>
      </w:pPr>
      <w:r w:rsidRPr="007148B0">
        <w:rPr>
          <w:rFonts w:asciiTheme="majorBidi" w:hAnsiTheme="majorBidi" w:cstheme="majorBidi"/>
          <w:lang w:val="sk-SK"/>
        </w:rPr>
        <w:t>Metodické vysvetlivky</w:t>
      </w:r>
    </w:p>
    <w:p w:rsidR="00000000" w:rsidRPr="007148B0" w:rsidRDefault="007148B0">
      <w:pPr>
        <w:pStyle w:val="Zkladntext"/>
        <w:rPr>
          <w:rFonts w:asciiTheme="majorBidi" w:hAnsiTheme="majorBidi" w:cstheme="majorBidi"/>
        </w:rPr>
      </w:pPr>
      <w:r w:rsidRPr="007148B0">
        <w:rPr>
          <w:rFonts w:asciiTheme="majorBidi" w:hAnsiTheme="majorBidi" w:cstheme="majorBidi"/>
        </w:rPr>
        <w:t>Táto kapitola poskytuje informácie o dlhodobom majetku podľa metodiky ESA 2010.</w:t>
      </w:r>
    </w:p>
    <w:p w:rsidR="00000000" w:rsidRPr="007148B0" w:rsidRDefault="007148B0">
      <w:pPr>
        <w:pStyle w:val="Zkladntext"/>
        <w:rPr>
          <w:rFonts w:asciiTheme="majorBidi" w:hAnsiTheme="majorBidi" w:cstheme="majorBidi"/>
        </w:rPr>
      </w:pPr>
      <w:r w:rsidRPr="007148B0">
        <w:rPr>
          <w:rFonts w:asciiTheme="majorBidi" w:hAnsiTheme="majorBidi" w:cstheme="majorBidi"/>
        </w:rPr>
        <w:t xml:space="preserve">Údaje o </w:t>
      </w:r>
      <w:r w:rsidRPr="007148B0">
        <w:rPr>
          <w:rFonts w:asciiTheme="majorBidi" w:hAnsiTheme="majorBidi" w:cstheme="majorBidi"/>
          <w:b/>
          <w:bCs/>
        </w:rPr>
        <w:t>dlhodobom majetku</w:t>
      </w:r>
      <w:r w:rsidRPr="007148B0">
        <w:rPr>
          <w:rFonts w:asciiTheme="majorBidi" w:hAnsiTheme="majorBidi" w:cstheme="majorBidi"/>
        </w:rPr>
        <w:t xml:space="preserve"> (kapitálových aktívach) zahŕňajú hodnotu majetku všetkých právnických subjektov. Neobsahujú hodnotu dlhodobého majetku obyvateľs</w:t>
      </w:r>
      <w:r w:rsidRPr="007148B0">
        <w:rPr>
          <w:rFonts w:asciiTheme="majorBidi" w:hAnsiTheme="majorBidi" w:cstheme="majorBidi"/>
        </w:rPr>
        <w:t>tva a dlhodobý majetok patriaci cirkvám v prípadoch neukončeného právneho konania a ocenenia. V roku 2018 sú údaje o dlhodobom majetku uvedené za celé hospodárstvo v súhrnnej tabuľke so základnými ukazovateľmi.</w:t>
      </w:r>
    </w:p>
    <w:p w:rsidR="00000000" w:rsidRPr="007148B0" w:rsidRDefault="007148B0">
      <w:pPr>
        <w:pStyle w:val="Zkladntext"/>
        <w:rPr>
          <w:rFonts w:asciiTheme="majorBidi" w:hAnsiTheme="majorBidi" w:cstheme="majorBidi"/>
        </w:rPr>
      </w:pPr>
      <w:r w:rsidRPr="007148B0">
        <w:rPr>
          <w:rFonts w:asciiTheme="majorBidi" w:hAnsiTheme="majorBidi" w:cstheme="majorBidi"/>
        </w:rPr>
        <w:t>Odvetvové členenie sa uvádza z hľadiska preva</w:t>
      </w:r>
      <w:r w:rsidRPr="007148B0">
        <w:rPr>
          <w:rFonts w:asciiTheme="majorBidi" w:hAnsiTheme="majorBidi" w:cstheme="majorBidi"/>
        </w:rPr>
        <w:t>žujúcej ekonomickej činnosti vykazujúcich subjektov; vlastníctvo je agregáciou začlenených majiteľov dlhodobého majetku do príslušnej skupiny prevažujúceho druhu vlastníctva.</w:t>
      </w:r>
    </w:p>
    <w:p w:rsidR="00000000" w:rsidRPr="007148B0" w:rsidRDefault="007148B0">
      <w:pPr>
        <w:pStyle w:val="Zkladntext"/>
        <w:rPr>
          <w:rFonts w:asciiTheme="majorBidi" w:hAnsiTheme="majorBidi" w:cstheme="majorBidi"/>
        </w:rPr>
      </w:pPr>
      <w:r w:rsidRPr="007148B0">
        <w:rPr>
          <w:rFonts w:asciiTheme="majorBidi" w:hAnsiTheme="majorBidi" w:cstheme="majorBidi"/>
        </w:rPr>
        <w:t>Dlhodobý majetok v reprodukčných cenách vyjadruje v zmysle metodiky ESA 2010 cenu</w:t>
      </w:r>
      <w:r w:rsidRPr="007148B0">
        <w:rPr>
          <w:rFonts w:asciiTheme="majorBidi" w:hAnsiTheme="majorBidi" w:cstheme="majorBidi"/>
        </w:rPr>
        <w:t>, za ktorú by sa dlhodobý majetok obstaral ako nový v čase, keď sa o ňom účtuje.</w:t>
      </w:r>
    </w:p>
    <w:p w:rsidR="00000000" w:rsidRPr="007148B0" w:rsidRDefault="007148B0">
      <w:pPr>
        <w:pStyle w:val="podnadpis"/>
        <w:rPr>
          <w:rFonts w:asciiTheme="majorBidi" w:hAnsiTheme="majorBidi" w:cstheme="majorBidi"/>
          <w:lang w:val="sk-SK"/>
        </w:rPr>
      </w:pPr>
      <w:r w:rsidRPr="007148B0">
        <w:rPr>
          <w:rFonts w:asciiTheme="majorBidi" w:hAnsiTheme="majorBidi" w:cstheme="majorBidi"/>
          <w:lang w:val="sk-SK"/>
        </w:rPr>
        <w:t>Definície</w:t>
      </w:r>
    </w:p>
    <w:p w:rsidR="00000000" w:rsidRPr="007148B0" w:rsidRDefault="007148B0">
      <w:pPr>
        <w:pStyle w:val="Zkladntext"/>
        <w:rPr>
          <w:rFonts w:asciiTheme="majorBidi" w:hAnsiTheme="majorBidi" w:cstheme="majorBidi"/>
        </w:rPr>
      </w:pPr>
      <w:r w:rsidRPr="007148B0">
        <w:rPr>
          <w:rFonts w:asciiTheme="majorBidi" w:hAnsiTheme="majorBidi" w:cstheme="majorBidi"/>
          <w:b/>
          <w:bCs/>
        </w:rPr>
        <w:t>Dlhodobý majetok</w:t>
      </w:r>
      <w:r w:rsidRPr="007148B0">
        <w:rPr>
          <w:rFonts w:asciiTheme="majorBidi" w:hAnsiTheme="majorBidi" w:cstheme="majorBidi"/>
        </w:rPr>
        <w:t xml:space="preserve"> tvoria všetky aktíva nehmotného a hmotného charakteru, na ktoré má ekonomický subjekt vlastnícke právo alebo právo hospodárenia. Dlhodobý majetok tv</w:t>
      </w:r>
      <w:r w:rsidRPr="007148B0">
        <w:rPr>
          <w:rFonts w:asciiTheme="majorBidi" w:hAnsiTheme="majorBidi" w:cstheme="majorBidi"/>
        </w:rPr>
        <w:t>oria dve hlavné skupiny aktív: nehmotné a hmotné.</w:t>
      </w:r>
    </w:p>
    <w:p w:rsidR="00000000" w:rsidRPr="007148B0" w:rsidRDefault="007148B0">
      <w:pPr>
        <w:pStyle w:val="Zkladntext"/>
        <w:rPr>
          <w:rFonts w:asciiTheme="majorBidi" w:hAnsiTheme="majorBidi" w:cstheme="majorBidi"/>
        </w:rPr>
      </w:pPr>
      <w:r w:rsidRPr="007148B0">
        <w:rPr>
          <w:rFonts w:asciiTheme="majorBidi" w:hAnsiTheme="majorBidi" w:cstheme="majorBidi"/>
          <w:b/>
          <w:bCs/>
        </w:rPr>
        <w:t>Dlhodobý nehmotný majetok</w:t>
      </w:r>
      <w:r w:rsidRPr="007148B0">
        <w:rPr>
          <w:rFonts w:asciiTheme="majorBidi" w:hAnsiTheme="majorBidi" w:cstheme="majorBidi"/>
        </w:rPr>
        <w:t xml:space="preserve"> tvoria výdavky na výskum a vývoj, softvér a ostatný nehmotný majetok, ktorých doba použiteľnosti v procese výroby je dlhšia ako jeden rok. </w:t>
      </w:r>
    </w:p>
    <w:p w:rsidR="00000000" w:rsidRPr="007148B0" w:rsidRDefault="007148B0">
      <w:pPr>
        <w:pStyle w:val="Zkladntext"/>
        <w:rPr>
          <w:rFonts w:asciiTheme="majorBidi" w:hAnsiTheme="majorBidi" w:cstheme="majorBidi"/>
        </w:rPr>
      </w:pPr>
      <w:r w:rsidRPr="007148B0">
        <w:rPr>
          <w:rFonts w:asciiTheme="majorBidi" w:hAnsiTheme="majorBidi" w:cstheme="majorBidi"/>
          <w:b/>
          <w:bCs/>
        </w:rPr>
        <w:t>Dlhodobým hmotným majetkom</w:t>
      </w:r>
      <w:r w:rsidRPr="007148B0">
        <w:rPr>
          <w:rFonts w:asciiTheme="majorBidi" w:hAnsiTheme="majorBidi" w:cstheme="majorBidi"/>
        </w:rPr>
        <w:t xml:space="preserve"> sú nehnu­teľn</w:t>
      </w:r>
      <w:r w:rsidRPr="007148B0">
        <w:rPr>
          <w:rFonts w:asciiTheme="majorBidi" w:hAnsiTheme="majorBidi" w:cstheme="majorBidi"/>
        </w:rPr>
        <w:t xml:space="preserve">osti a samostatné hnuteľné veci, prípadne súbory hnuteľných vecí a kultivované aktíva, ktorých prevádzkovo-technická funkcia v pro­cese výroby je dlhšia ako jeden rok. </w:t>
      </w:r>
    </w:p>
    <w:p w:rsidR="00000000" w:rsidRPr="007148B0" w:rsidRDefault="007148B0">
      <w:pPr>
        <w:pStyle w:val="Zkladntext"/>
        <w:rPr>
          <w:rFonts w:asciiTheme="majorBidi" w:hAnsiTheme="majorBidi" w:cstheme="majorBidi"/>
        </w:rPr>
      </w:pPr>
      <w:r w:rsidRPr="007148B0">
        <w:rPr>
          <w:rFonts w:asciiTheme="majorBidi" w:hAnsiTheme="majorBidi" w:cstheme="majorBidi"/>
          <w:b/>
          <w:bCs/>
          <w:spacing w:val="-2"/>
        </w:rPr>
        <w:t>Dlhodobý majetok v obstarávacej cene</w:t>
      </w:r>
      <w:r w:rsidRPr="007148B0">
        <w:rPr>
          <w:rFonts w:asciiTheme="majorBidi" w:hAnsiTheme="majorBidi" w:cstheme="majorBidi"/>
          <w:spacing w:val="-2"/>
        </w:rPr>
        <w:t xml:space="preserve"> </w:t>
      </w:r>
      <w:r w:rsidRPr="007148B0">
        <w:rPr>
          <w:rFonts w:asciiTheme="majorBidi" w:hAnsiTheme="majorBidi" w:cstheme="majorBidi"/>
        </w:rPr>
        <w:t>vyjadruje cenu jeho obstarania vrátane nákladov sú</w:t>
      </w:r>
      <w:r w:rsidRPr="007148B0">
        <w:rPr>
          <w:rFonts w:asciiTheme="majorBidi" w:hAnsiTheme="majorBidi" w:cstheme="majorBidi"/>
        </w:rPr>
        <w:t xml:space="preserve">visiacich s jeho obstaraním. Môže ísť o nákup nového alebo predtým používaného dlhodobého majetku iným subjektom, výrobu vo vlastnej prevádzke podniku (inštitúcie), vrátenie majetku na základe právnych predpisov (reštitúcie, súdne rozhodnutia), darovanie, </w:t>
      </w:r>
      <w:r w:rsidRPr="007148B0">
        <w:rPr>
          <w:rFonts w:asciiTheme="majorBidi" w:hAnsiTheme="majorBidi" w:cstheme="majorBidi"/>
        </w:rPr>
        <w:t>prevod z korporácie do inej korporácie. Na druhej strane je pohyb vyjadrený úbytkom dlhodobého majetku za rok, pričom to môže byť predaj, prevod, odovzdanie alebo vrátenie majetku podľa právnych predpisov, likvidácia dlhodobého majetku v dôsledku úplného o</w:t>
      </w:r>
      <w:r w:rsidRPr="007148B0">
        <w:rPr>
          <w:rFonts w:asciiTheme="majorBidi" w:hAnsiTheme="majorBidi" w:cstheme="majorBidi"/>
        </w:rPr>
        <w:t>potrebovania alebo darovanie dlhodobého majetku inej korporácii alebo subjektu.</w:t>
      </w:r>
    </w:p>
    <w:p w:rsidR="00000000" w:rsidRPr="007148B0" w:rsidRDefault="007148B0">
      <w:pPr>
        <w:pStyle w:val="Zkladntext"/>
        <w:rPr>
          <w:rFonts w:asciiTheme="majorBidi" w:hAnsiTheme="majorBidi" w:cstheme="majorBidi"/>
        </w:rPr>
      </w:pPr>
      <w:r w:rsidRPr="007148B0">
        <w:rPr>
          <w:rFonts w:asciiTheme="majorBidi" w:hAnsiTheme="majorBidi" w:cstheme="majorBidi"/>
          <w:b/>
          <w:bCs/>
        </w:rPr>
        <w:t>Spotreba dlhodobého majetku</w:t>
      </w:r>
      <w:r w:rsidRPr="007148B0">
        <w:rPr>
          <w:rFonts w:asciiTheme="majorBidi" w:hAnsiTheme="majorBidi" w:cstheme="majorBidi"/>
        </w:rPr>
        <w:t xml:space="preserve"> vyjadruje hodnotu naakumulovaných odpisov za jednotlivé roky. </w:t>
      </w:r>
    </w:p>
    <w:p w:rsidR="00000000" w:rsidRPr="007148B0" w:rsidRDefault="007148B0">
      <w:pPr>
        <w:pStyle w:val="Zkladntext"/>
        <w:rPr>
          <w:rFonts w:asciiTheme="majorBidi" w:hAnsiTheme="majorBidi" w:cstheme="majorBidi"/>
        </w:rPr>
      </w:pPr>
      <w:r w:rsidRPr="007148B0">
        <w:rPr>
          <w:rFonts w:asciiTheme="majorBidi" w:hAnsiTheme="majorBidi" w:cstheme="majorBidi"/>
          <w:b/>
          <w:bCs/>
        </w:rPr>
        <w:t>Hrubý stav dlhodobého majetku</w:t>
      </w:r>
      <w:r w:rsidRPr="007148B0">
        <w:rPr>
          <w:rFonts w:asciiTheme="majorBidi" w:hAnsiTheme="majorBidi" w:cstheme="majorBidi"/>
        </w:rPr>
        <w:t xml:space="preserve"> je hodnota aktív, držaných výrobcami, pred odpočítaním </w:t>
      </w:r>
      <w:r w:rsidRPr="007148B0">
        <w:rPr>
          <w:rFonts w:asciiTheme="majorBidi" w:hAnsiTheme="majorBidi" w:cstheme="majorBidi"/>
        </w:rPr>
        <w:t>opotrebenia.</w:t>
      </w:r>
    </w:p>
    <w:p w:rsidR="00000000" w:rsidRPr="007148B0" w:rsidRDefault="007148B0">
      <w:pPr>
        <w:pStyle w:val="Zkladntext"/>
        <w:rPr>
          <w:rFonts w:asciiTheme="majorBidi" w:hAnsiTheme="majorBidi" w:cstheme="majorBidi"/>
        </w:rPr>
      </w:pPr>
      <w:r w:rsidRPr="007148B0">
        <w:rPr>
          <w:rFonts w:asciiTheme="majorBidi" w:hAnsiTheme="majorBidi" w:cstheme="majorBidi"/>
          <w:b/>
          <w:bCs/>
        </w:rPr>
        <w:t>Čistý stav dlhodobého majetku</w:t>
      </w:r>
      <w:r w:rsidRPr="007148B0">
        <w:rPr>
          <w:rFonts w:asciiTheme="majorBidi" w:hAnsiTheme="majorBidi" w:cstheme="majorBidi"/>
        </w:rPr>
        <w:t xml:space="preserve"> pre účely národných účtov je odvodený z hrubého stavu tak, že odpočítame od hrubého stavu spotrebu dlhodobého majetku.</w:t>
      </w:r>
    </w:p>
    <w:p w:rsidR="00000000" w:rsidRPr="007148B0" w:rsidRDefault="007148B0">
      <w:pPr>
        <w:pStyle w:val="podnadpis"/>
        <w:rPr>
          <w:rFonts w:asciiTheme="majorBidi" w:hAnsiTheme="majorBidi" w:cstheme="majorBidi"/>
          <w:lang w:val="sk-SK"/>
        </w:rPr>
      </w:pPr>
      <w:r w:rsidRPr="007148B0">
        <w:rPr>
          <w:rFonts w:asciiTheme="majorBidi" w:hAnsiTheme="majorBidi" w:cstheme="majorBidi"/>
          <w:lang w:val="sk-SK"/>
        </w:rPr>
        <w:t>Zdroj údajov</w:t>
      </w:r>
    </w:p>
    <w:p w:rsidR="00000000" w:rsidRPr="007148B0" w:rsidRDefault="007148B0">
      <w:pPr>
        <w:pStyle w:val="Zkladntext"/>
        <w:rPr>
          <w:rFonts w:asciiTheme="majorBidi" w:hAnsiTheme="majorBidi" w:cstheme="majorBidi"/>
        </w:rPr>
      </w:pPr>
      <w:r w:rsidRPr="007148B0">
        <w:rPr>
          <w:rFonts w:asciiTheme="majorBidi" w:hAnsiTheme="majorBidi" w:cstheme="majorBidi"/>
        </w:rPr>
        <w:t>Všetky publikované údaje sú výsledkom zisťovaní a výpočtov ŠÚ SR.</w:t>
      </w:r>
      <w:bookmarkEnd w:id="0"/>
    </w:p>
    <w:sectPr w:rsidR="00000000" w:rsidRPr="007148B0">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auto"/>
    <w:notTrueType/>
    <w:pitch w:val="default"/>
    <w:sig w:usb0="00000003" w:usb1="00000000" w:usb2="00000000" w:usb3="00000000" w:csb0="00000001" w:csb1="00000000"/>
  </w:font>
  <w:font w:name="Nimbus Roman D O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8B0"/>
    <w:rsid w:val="007148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D5712CF-8868-4C78-892E-3A9A9203C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2184</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2021-02-02T08:48:00Z</dcterms:created>
  <dcterms:modified xsi:type="dcterms:W3CDTF">2021-02-02T08:48:00Z</dcterms:modified>
</cp:coreProperties>
</file>