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FB0" w:rsidRPr="00BD69C9" w:rsidRDefault="00FE6FB0">
      <w:pPr>
        <w:pStyle w:val="nadpis"/>
        <w:rPr>
          <w:rFonts w:asciiTheme="majorBidi" w:hAnsiTheme="majorBidi" w:cstheme="majorBidi"/>
          <w:lang w:val="sk-SK"/>
        </w:rPr>
      </w:pPr>
      <w:bookmarkStart w:id="0" w:name="_GoBack"/>
      <w:r w:rsidRPr="00BD69C9">
        <w:rPr>
          <w:rFonts w:asciiTheme="majorBidi" w:hAnsiTheme="majorBidi" w:cstheme="majorBidi"/>
          <w:lang w:val="sk-SK"/>
        </w:rPr>
        <w:t>12. CENY</w:t>
      </w:r>
    </w:p>
    <w:p w:rsidR="00FE6FB0" w:rsidRPr="00BD69C9" w:rsidRDefault="00FE6FB0">
      <w:pPr>
        <w:pStyle w:val="podnadpis"/>
        <w:rPr>
          <w:rFonts w:asciiTheme="majorBidi" w:hAnsiTheme="majorBidi" w:cstheme="majorBidi"/>
          <w:lang w:val="sk-SK"/>
        </w:rPr>
      </w:pPr>
      <w:r w:rsidRPr="00BD69C9">
        <w:rPr>
          <w:rFonts w:asciiTheme="majorBidi" w:hAnsiTheme="majorBidi" w:cstheme="majorBidi"/>
          <w:lang w:val="sk-SK"/>
        </w:rPr>
        <w:t>Metodické vysvetlivky</w:t>
      </w:r>
    </w:p>
    <w:p w:rsidR="00FE6FB0" w:rsidRPr="00BD69C9" w:rsidRDefault="00FE6FB0">
      <w:pPr>
        <w:pStyle w:val="Zkladntext"/>
        <w:rPr>
          <w:rFonts w:asciiTheme="majorBidi" w:hAnsiTheme="majorBidi" w:cstheme="majorBidi"/>
        </w:rPr>
      </w:pPr>
      <w:r w:rsidRPr="00BD69C9">
        <w:rPr>
          <w:rFonts w:asciiTheme="majorBidi" w:hAnsiTheme="majorBidi" w:cstheme="majorBidi"/>
          <w:b/>
          <w:bCs/>
        </w:rPr>
        <w:t>Cenové indexy vo výrobnej sfére</w:t>
      </w:r>
      <w:r w:rsidRPr="00BD69C9">
        <w:rPr>
          <w:rFonts w:asciiTheme="majorBidi" w:hAnsiTheme="majorBidi" w:cstheme="majorBidi"/>
        </w:rPr>
        <w:t xml:space="preserve"> vyjadrujú mieru cenových zmien produkcie tuzemských pr</w:t>
      </w:r>
      <w:r w:rsidRPr="00BD69C9">
        <w:rPr>
          <w:rFonts w:asciiTheme="majorBidi" w:hAnsiTheme="majorBidi" w:cstheme="majorBidi"/>
        </w:rPr>
        <w:t>o</w:t>
      </w:r>
      <w:r w:rsidRPr="00BD69C9">
        <w:rPr>
          <w:rFonts w:asciiTheme="majorBidi" w:hAnsiTheme="majorBidi" w:cstheme="majorBidi"/>
        </w:rPr>
        <w:t>ducentov realizovanej na domácom trhu a v priemysle aj výrobkov určených pre vývoz, ako aj v úhrne za tuzemsko a vývoz.</w:t>
      </w:r>
    </w:p>
    <w:p w:rsidR="00FE6FB0" w:rsidRPr="00BD69C9" w:rsidRDefault="00FE6FB0">
      <w:pPr>
        <w:pStyle w:val="Zkladntext"/>
        <w:rPr>
          <w:rFonts w:asciiTheme="majorBidi" w:hAnsiTheme="majorBidi" w:cstheme="majorBidi"/>
        </w:rPr>
      </w:pPr>
      <w:r w:rsidRPr="00BD69C9">
        <w:rPr>
          <w:rFonts w:asciiTheme="majorBidi" w:hAnsiTheme="majorBidi" w:cstheme="majorBidi"/>
        </w:rPr>
        <w:t>V rámci harmonizácie so štatistikou EÚ sa analógiou modelu cenových indexov na domácom trhu vytvoril model cenových indexov priemyselných produktov realizovaných vývozom. Štru</w:t>
      </w:r>
      <w:r w:rsidRPr="00BD69C9">
        <w:rPr>
          <w:rFonts w:asciiTheme="majorBidi" w:hAnsiTheme="majorBidi" w:cstheme="majorBidi"/>
        </w:rPr>
        <w:t>k</w:t>
      </w:r>
      <w:r w:rsidRPr="00BD69C9">
        <w:rPr>
          <w:rFonts w:asciiTheme="majorBidi" w:hAnsiTheme="majorBidi" w:cstheme="majorBidi"/>
        </w:rPr>
        <w:t>túra váh cenových indexov tuzemska a cenových indexov vývozu je premietnutá do váhovej schémy pre výpočet súhrnných indexov cien priemyselných výrobcov.</w:t>
      </w:r>
    </w:p>
    <w:p w:rsidR="00FE6FB0" w:rsidRPr="00BD69C9" w:rsidRDefault="00FE6FB0">
      <w:pPr>
        <w:pStyle w:val="Zkladntext"/>
        <w:rPr>
          <w:rFonts w:asciiTheme="majorBidi" w:hAnsiTheme="majorBidi" w:cstheme="majorBidi"/>
        </w:rPr>
      </w:pPr>
      <w:r w:rsidRPr="00BD69C9">
        <w:rPr>
          <w:rFonts w:asciiTheme="majorBidi" w:hAnsiTheme="majorBidi" w:cstheme="majorBidi"/>
        </w:rPr>
        <w:t>V priebehu roka 2016 sa uskutočnila komplexná revízia indexov cien priemyselných výrobcov, v rámci ktorej bola revidovaná váhová schéma, výber cenových reprezentantov a spravodajských jednotiek (respondentov) v tuzemsku, resp. paralelne aj v exporte. Súčasne od roku 2017 d</w:t>
      </w:r>
      <w:r w:rsidRPr="00BD69C9">
        <w:rPr>
          <w:rFonts w:asciiTheme="majorBidi" w:hAnsiTheme="majorBidi" w:cstheme="majorBidi"/>
        </w:rPr>
        <w:t>o</w:t>
      </w:r>
      <w:r w:rsidRPr="00BD69C9">
        <w:rPr>
          <w:rFonts w:asciiTheme="majorBidi" w:hAnsiTheme="majorBidi" w:cstheme="majorBidi"/>
        </w:rPr>
        <w:t xml:space="preserve">chádza k zmene cenového základného obdobia na december 2015 = 100. </w:t>
      </w:r>
    </w:p>
    <w:p w:rsidR="00FE6FB0" w:rsidRPr="00BD69C9" w:rsidRDefault="00FE6FB0">
      <w:pPr>
        <w:pStyle w:val="Zkladntext"/>
        <w:rPr>
          <w:rFonts w:asciiTheme="majorBidi" w:hAnsiTheme="majorBidi" w:cstheme="majorBidi"/>
        </w:rPr>
      </w:pPr>
      <w:r w:rsidRPr="00BD69C9">
        <w:rPr>
          <w:rFonts w:asciiTheme="majorBidi" w:hAnsiTheme="majorBidi" w:cstheme="majorBidi"/>
        </w:rPr>
        <w:t xml:space="preserve">Schéma </w:t>
      </w:r>
      <w:r w:rsidRPr="00BD69C9">
        <w:rPr>
          <w:rFonts w:asciiTheme="majorBidi" w:hAnsiTheme="majorBidi" w:cstheme="majorBidi"/>
          <w:b/>
          <w:bCs/>
        </w:rPr>
        <w:t>indexu cien priemyselných výrobcov</w:t>
      </w:r>
      <w:r w:rsidRPr="00BD69C9">
        <w:rPr>
          <w:rFonts w:asciiTheme="majorBidi" w:hAnsiTheme="majorBidi" w:cstheme="majorBidi"/>
        </w:rPr>
        <w:t xml:space="preserve"> v roku 2019 obsahovala cca 3 700 reprezentantov (výrobkov) opakovanej priemyselnej produkcie realizovanej v tuzemsku, resp. ďalších 3 600 výrobkov za export, zaradených do divízií 05 až 39 revidovanej Štatistickej klasifikácie ekon</w:t>
      </w:r>
      <w:r w:rsidRPr="00BD69C9">
        <w:rPr>
          <w:rFonts w:asciiTheme="majorBidi" w:hAnsiTheme="majorBidi" w:cstheme="majorBidi"/>
        </w:rPr>
        <w:t>o</w:t>
      </w:r>
      <w:r w:rsidRPr="00BD69C9">
        <w:rPr>
          <w:rFonts w:asciiTheme="majorBidi" w:hAnsiTheme="majorBidi" w:cstheme="majorBidi"/>
        </w:rPr>
        <w:t xml:space="preserve">mických činností SK NACE Rev. 2. Na agregovanie individuálnych indexov cien výrobkov do vyšších triedení sa používajú stále váhy odvodené zo štruktúry tržieb v priemysle za rok 2015. Do výpočtu indexu cien priemyselných výrobcov bolo zahrnuté aj sledovanie cien pitnej a odvádzanej vody. </w:t>
      </w:r>
    </w:p>
    <w:p w:rsidR="00FE6FB0" w:rsidRPr="00BD69C9" w:rsidRDefault="00FE6FB0">
      <w:pPr>
        <w:pStyle w:val="Zkladntext"/>
        <w:rPr>
          <w:rFonts w:asciiTheme="majorBidi" w:hAnsiTheme="majorBidi" w:cstheme="majorBidi"/>
        </w:rPr>
      </w:pPr>
      <w:r w:rsidRPr="00BD69C9">
        <w:rPr>
          <w:rFonts w:asciiTheme="majorBidi" w:hAnsiTheme="majorBidi" w:cstheme="majorBidi"/>
        </w:rPr>
        <w:t>Ceny výrobkov sa zisťujú u vybraných producentov v priemysle na tzv. primárnom trhu, t. j. pri prvej obchodnej transakcii medzi výrobcom a odberateľom. Ceny neobsahujú daň z pridanej hodnoty ani spotrebnú daň.</w:t>
      </w:r>
    </w:p>
    <w:p w:rsidR="00FE6FB0" w:rsidRPr="00BD69C9" w:rsidRDefault="00FE6FB0">
      <w:pPr>
        <w:pStyle w:val="Zkladntext"/>
        <w:rPr>
          <w:rFonts w:asciiTheme="majorBidi" w:hAnsiTheme="majorBidi" w:cstheme="majorBidi"/>
        </w:rPr>
      </w:pPr>
      <w:r w:rsidRPr="00BD69C9">
        <w:rPr>
          <w:rFonts w:asciiTheme="majorBidi" w:hAnsiTheme="majorBidi" w:cstheme="majorBidi"/>
          <w:b/>
          <w:bCs/>
        </w:rPr>
        <w:t>Index cien surového dreva</w:t>
      </w:r>
      <w:r w:rsidRPr="00BD69C9">
        <w:rPr>
          <w:rFonts w:asciiTheme="majorBidi" w:hAnsiTheme="majorBidi" w:cstheme="majorBidi"/>
        </w:rPr>
        <w:t xml:space="preserve"> zahŕňajúci 16 vybraných produktov (reprezentantov) listnatých a i</w:t>
      </w:r>
      <w:r w:rsidRPr="00BD69C9">
        <w:rPr>
          <w:rFonts w:asciiTheme="majorBidi" w:hAnsiTheme="majorBidi" w:cstheme="majorBidi"/>
        </w:rPr>
        <w:t>h</w:t>
      </w:r>
      <w:r w:rsidRPr="00BD69C9">
        <w:rPr>
          <w:rFonts w:asciiTheme="majorBidi" w:hAnsiTheme="majorBidi" w:cstheme="majorBidi"/>
        </w:rPr>
        <w:t>ličnatých sortimentov surového dreva (divízia 02 CPA 2015) sa vypočítava s použitím stálych váh odvodených zo štruktúry predaja v roku 2015. Základným cenovým obdobím je priemer roka 2015. Ceny vybraných sortimentov ihličnatého a listnatého dreva (bez dane z pridanej hodnoty) sa zisťujú u vybraných významnejších producentov.</w:t>
      </w:r>
    </w:p>
    <w:p w:rsidR="00FE6FB0" w:rsidRPr="00BD69C9" w:rsidRDefault="00FE6FB0">
      <w:pPr>
        <w:pStyle w:val="Zkladntext"/>
        <w:rPr>
          <w:rFonts w:asciiTheme="majorBidi" w:hAnsiTheme="majorBidi" w:cstheme="majorBidi"/>
        </w:rPr>
      </w:pPr>
      <w:r w:rsidRPr="00BD69C9">
        <w:rPr>
          <w:rFonts w:asciiTheme="majorBidi" w:hAnsiTheme="majorBidi" w:cstheme="majorBidi"/>
          <w:b/>
          <w:bCs/>
        </w:rPr>
        <w:t>Index cien poľnohospodárskych výrobkov</w:t>
      </w:r>
      <w:r w:rsidRPr="00BD69C9">
        <w:rPr>
          <w:rFonts w:asciiTheme="majorBidi" w:hAnsiTheme="majorBidi" w:cstheme="majorBidi"/>
        </w:rPr>
        <w:t xml:space="preserve"> obsahuje informácie o vývoji úrovne cien za 85 hlavných poľnohospodárskych produktov (rastlinných, živočíšnych, ovocia, zeleniny) a rýb zaradených do divízií 01 a 03 CPA 2015. Indexy sa vypočítajú zo zistených cien produktov u</w:t>
      </w:r>
      <w:r w:rsidRPr="00BD69C9">
        <w:rPr>
          <w:rFonts w:asciiTheme="majorBidi" w:hAnsiTheme="majorBidi" w:cstheme="majorBidi"/>
        </w:rPr>
        <w:t>r</w:t>
      </w:r>
      <w:r w:rsidRPr="00BD69C9">
        <w:rPr>
          <w:rFonts w:asciiTheme="majorBidi" w:hAnsiTheme="majorBidi" w:cstheme="majorBidi"/>
        </w:rPr>
        <w:t>čených na ďalšie spracovanie alebo predaj. Pri výpočte indexov agregátov sa používa systém stálych váh, odvodený z priemernej štruktúry predaja produkcie poľnohospodárstva za roky 2014 – 2016. Základom výpočtu cenového indexu sú ceny jednotlivých mesiacov roku 2015. Ceny poľnohospodárskych výrobkov sa zisťujú u vybraných producentov pri predaji prvému odber</w:t>
      </w:r>
      <w:r w:rsidRPr="00BD69C9">
        <w:rPr>
          <w:rFonts w:asciiTheme="majorBidi" w:hAnsiTheme="majorBidi" w:cstheme="majorBidi"/>
        </w:rPr>
        <w:t>a</w:t>
      </w:r>
      <w:r w:rsidRPr="00BD69C9">
        <w:rPr>
          <w:rFonts w:asciiTheme="majorBidi" w:hAnsiTheme="majorBidi" w:cstheme="majorBidi"/>
        </w:rPr>
        <w:t>teľovi (tzv. primárny trh) bez dane z pridanej hodnoty.</w:t>
      </w:r>
    </w:p>
    <w:p w:rsidR="00FE6FB0" w:rsidRPr="00BD69C9" w:rsidRDefault="00FE6FB0">
      <w:pPr>
        <w:pStyle w:val="Zkladntext"/>
        <w:rPr>
          <w:rFonts w:asciiTheme="majorBidi" w:hAnsiTheme="majorBidi" w:cstheme="majorBidi"/>
        </w:rPr>
      </w:pPr>
      <w:r w:rsidRPr="00BD69C9">
        <w:rPr>
          <w:rFonts w:asciiTheme="majorBidi" w:hAnsiTheme="majorBidi" w:cstheme="majorBidi"/>
        </w:rPr>
        <w:t>Údaje o priemerných cenách vybraných poľnohospodárskych výrobkov sú pri rastlinných a živočíšnych produktoch priemerom za vybrané akosti (bez neštandardu), pri ovocí a zelenine len za 1. akosť.</w:t>
      </w:r>
    </w:p>
    <w:p w:rsidR="00571442" w:rsidRPr="00BD69C9" w:rsidRDefault="00FE6FB0">
      <w:pPr>
        <w:pStyle w:val="Zkladntext"/>
        <w:rPr>
          <w:rFonts w:asciiTheme="majorBidi" w:hAnsiTheme="majorBidi" w:cstheme="majorBidi"/>
        </w:rPr>
      </w:pPr>
      <w:r w:rsidRPr="00BD69C9">
        <w:rPr>
          <w:rFonts w:asciiTheme="majorBidi" w:hAnsiTheme="majorBidi" w:cstheme="majorBidi"/>
        </w:rPr>
        <w:t xml:space="preserve">Schéma </w:t>
      </w:r>
      <w:r w:rsidRPr="00BD69C9">
        <w:rPr>
          <w:rFonts w:asciiTheme="majorBidi" w:hAnsiTheme="majorBidi" w:cstheme="majorBidi"/>
          <w:b/>
          <w:bCs/>
        </w:rPr>
        <w:t>indexu cien stavebných prác</w:t>
      </w:r>
      <w:r w:rsidRPr="00BD69C9">
        <w:rPr>
          <w:rFonts w:asciiTheme="majorBidi" w:hAnsiTheme="majorBidi" w:cstheme="majorBidi"/>
        </w:rPr>
        <w:t xml:space="preserve"> je zostavená z cca 8 558 reprezentantov – vybraných p</w:t>
      </w:r>
      <w:r w:rsidRPr="00BD69C9">
        <w:rPr>
          <w:rFonts w:asciiTheme="majorBidi" w:hAnsiTheme="majorBidi" w:cstheme="majorBidi"/>
        </w:rPr>
        <w:t>o</w:t>
      </w:r>
      <w:r w:rsidRPr="00BD69C9">
        <w:rPr>
          <w:rFonts w:asciiTheme="majorBidi" w:hAnsiTheme="majorBidi" w:cstheme="majorBidi"/>
        </w:rPr>
        <w:t>ložiek stavebných prác (divízií 41 až 43 CPA 2015). Systém váh odráža štruktúru produkcie stavebníctva v roku 2015. Cenovým základom je priemer roka 2015. Vybraní stavební dodávat</w:t>
      </w:r>
      <w:r w:rsidRPr="00BD69C9">
        <w:rPr>
          <w:rFonts w:asciiTheme="majorBidi" w:hAnsiTheme="majorBidi" w:cstheme="majorBidi"/>
        </w:rPr>
        <w:t>e</w:t>
      </w:r>
      <w:r w:rsidRPr="00BD69C9">
        <w:rPr>
          <w:rFonts w:asciiTheme="majorBidi" w:hAnsiTheme="majorBidi" w:cstheme="majorBidi"/>
        </w:rPr>
        <w:t xml:space="preserve">lia poskytujú ceny za reprezentanty bez dane z pridanej hodnoty. Do ceny stavebných prác za mernú jednotku sú započítané všetky náklady potrebné na vybudovanie stavebného objektu, t. j. </w:t>
      </w:r>
      <w:r w:rsidRPr="00BD69C9">
        <w:rPr>
          <w:rFonts w:asciiTheme="majorBidi" w:hAnsiTheme="majorBidi" w:cstheme="majorBidi"/>
        </w:rPr>
        <w:lastRenderedPageBreak/>
        <w:t>materiál, polotovary, náklady na prevádzku stavebných strojov, dopravné náklady, podiel vedľa</w:t>
      </w:r>
      <w:r w:rsidRPr="00BD69C9">
        <w:rPr>
          <w:rFonts w:asciiTheme="majorBidi" w:hAnsiTheme="majorBidi" w:cstheme="majorBidi"/>
        </w:rPr>
        <w:t>j</w:t>
      </w:r>
      <w:r w:rsidRPr="00BD69C9">
        <w:rPr>
          <w:rFonts w:asciiTheme="majorBidi" w:hAnsiTheme="majorBidi" w:cstheme="majorBidi"/>
        </w:rPr>
        <w:t>ších nákladov (okrem zariadenia staveniska) a zisk. Indexy sa publikujú v členení podľa Štati</w:t>
      </w:r>
      <w:r w:rsidRPr="00BD69C9">
        <w:rPr>
          <w:rFonts w:asciiTheme="majorBidi" w:hAnsiTheme="majorBidi" w:cstheme="majorBidi"/>
        </w:rPr>
        <w:t>s</w:t>
      </w:r>
      <w:r w:rsidRPr="00BD69C9">
        <w:rPr>
          <w:rFonts w:asciiTheme="majorBidi" w:hAnsiTheme="majorBidi" w:cstheme="majorBidi"/>
        </w:rPr>
        <w:t>tickej klasifikácie produkcie (CPA 2015) a Klasifikácie stavieb (KS). Úhrnný index sa skladá z indexu cien stavebných prác na novú výstavbu a z indexu cien stavebných prác na opravy a údržbu.</w:t>
      </w:r>
    </w:p>
    <w:p w:rsidR="00FE6FB0" w:rsidRPr="00BD69C9" w:rsidRDefault="00FE6FB0">
      <w:pPr>
        <w:pStyle w:val="Zkladntext"/>
        <w:rPr>
          <w:rFonts w:asciiTheme="majorBidi" w:hAnsiTheme="majorBidi" w:cstheme="majorBidi"/>
        </w:rPr>
      </w:pPr>
      <w:r w:rsidRPr="00BD69C9">
        <w:rPr>
          <w:rFonts w:asciiTheme="majorBidi" w:hAnsiTheme="majorBidi" w:cstheme="majorBidi"/>
        </w:rPr>
        <w:t>Indexy cien dodávok výrobkov a služieb do poľnohospodárstva a indexy cien materiálov a v</w:t>
      </w:r>
      <w:r w:rsidRPr="00BD69C9">
        <w:rPr>
          <w:rFonts w:asciiTheme="majorBidi" w:hAnsiTheme="majorBidi" w:cstheme="majorBidi"/>
        </w:rPr>
        <w:t>ý</w:t>
      </w:r>
      <w:r w:rsidRPr="00BD69C9">
        <w:rPr>
          <w:rFonts w:asciiTheme="majorBidi" w:hAnsiTheme="majorBidi" w:cstheme="majorBidi"/>
        </w:rPr>
        <w:t>robkov spotrebovaných v stavebníctve vyjadrujú mieru cenových zmien na strane vstupov.</w:t>
      </w:r>
    </w:p>
    <w:p w:rsidR="00FE6FB0" w:rsidRPr="00BD69C9" w:rsidRDefault="00FE6FB0">
      <w:pPr>
        <w:pStyle w:val="Zkladntext"/>
        <w:rPr>
          <w:rFonts w:asciiTheme="majorBidi" w:hAnsiTheme="majorBidi" w:cstheme="majorBidi"/>
        </w:rPr>
      </w:pPr>
      <w:r w:rsidRPr="00BD69C9">
        <w:rPr>
          <w:rFonts w:asciiTheme="majorBidi" w:hAnsiTheme="majorBidi" w:cstheme="majorBidi"/>
          <w:b/>
          <w:bCs/>
        </w:rPr>
        <w:t>Index cien dodávok výrobkov a služieb do poľnohospodárstva</w:t>
      </w:r>
      <w:r w:rsidRPr="00BD69C9">
        <w:rPr>
          <w:rFonts w:asciiTheme="majorBidi" w:hAnsiTheme="majorBidi" w:cstheme="majorBidi"/>
        </w:rPr>
        <w:t xml:space="preserve"> zahŕňa výrobky a služby nakup</w:t>
      </w:r>
      <w:r w:rsidRPr="00BD69C9">
        <w:rPr>
          <w:rFonts w:asciiTheme="majorBidi" w:hAnsiTheme="majorBidi" w:cstheme="majorBidi"/>
        </w:rPr>
        <w:t>o</w:t>
      </w:r>
      <w:r w:rsidRPr="00BD69C9">
        <w:rPr>
          <w:rFonts w:asciiTheme="majorBidi" w:hAnsiTheme="majorBidi" w:cstheme="majorBidi"/>
        </w:rPr>
        <w:t>vané poľnohospodárskymi výrobcami a spotrebované pri výrobe poľnohospodárskej produkcie. Vypočítava sa zo zistených cien 101 druhov dôležitých nakupovaných výrobkov a služieb (výber respondentov sa zhoduje s výberom pre index cien poľnohospodárskych výrobkov) a z cenových indexov vybraných skupín, príp. tried CPA 2015 prevzatých z indexu cien priemyselných výro</w:t>
      </w:r>
      <w:r w:rsidRPr="00BD69C9">
        <w:rPr>
          <w:rFonts w:asciiTheme="majorBidi" w:hAnsiTheme="majorBidi" w:cstheme="majorBidi"/>
        </w:rPr>
        <w:t>b</w:t>
      </w:r>
      <w:r w:rsidRPr="00BD69C9">
        <w:rPr>
          <w:rFonts w:asciiTheme="majorBidi" w:hAnsiTheme="majorBidi" w:cstheme="majorBidi"/>
        </w:rPr>
        <w:t>cov, indexu cien stavebných prác a indexu cien výkonov spojov. Základným obdobím je priemer roka 2015. Nákupné ceny produktov nezahrnujú daň z pridanej hodnoty.</w:t>
      </w:r>
    </w:p>
    <w:p w:rsidR="00FE6FB0" w:rsidRPr="00BD69C9" w:rsidRDefault="00FE6FB0">
      <w:pPr>
        <w:pStyle w:val="Zkladntext"/>
        <w:rPr>
          <w:rFonts w:asciiTheme="majorBidi" w:hAnsiTheme="majorBidi" w:cstheme="majorBidi"/>
        </w:rPr>
      </w:pPr>
      <w:r w:rsidRPr="00BD69C9">
        <w:rPr>
          <w:rFonts w:asciiTheme="majorBidi" w:hAnsiTheme="majorBidi" w:cstheme="majorBidi"/>
          <w:b/>
          <w:bCs/>
        </w:rPr>
        <w:t>Index cien (výrobných) materiálov a výrobkov spotrebovávaných v stavebníctve</w:t>
      </w:r>
      <w:r w:rsidRPr="00BD69C9">
        <w:rPr>
          <w:rFonts w:asciiTheme="majorBidi" w:hAnsiTheme="majorBidi" w:cstheme="majorBidi"/>
        </w:rPr>
        <w:t xml:space="preserve"> obsahuje cenové indexy vybraných materiálov a výrobkov (95 skupín CPA 2015), prevzaté z indexu cien tuze</w:t>
      </w:r>
      <w:r w:rsidRPr="00BD69C9">
        <w:rPr>
          <w:rFonts w:asciiTheme="majorBidi" w:hAnsiTheme="majorBidi" w:cstheme="majorBidi"/>
        </w:rPr>
        <w:t>m</w:t>
      </w:r>
      <w:r w:rsidRPr="00BD69C9">
        <w:rPr>
          <w:rFonts w:asciiTheme="majorBidi" w:hAnsiTheme="majorBidi" w:cstheme="majorBidi"/>
        </w:rPr>
        <w:t>ských priemyselných výrobcov. Váhy pre výpočet indexu boli odvodené z hodnotového objemu spotrebovaných stavebných materiálov v procese výstavby v roku 2015. Základným obdobím je priemer roka 2015.</w:t>
      </w:r>
    </w:p>
    <w:p w:rsidR="00571442" w:rsidRPr="00BD69C9" w:rsidRDefault="00FE6FB0">
      <w:pPr>
        <w:pStyle w:val="Zkladntext"/>
        <w:rPr>
          <w:rFonts w:asciiTheme="majorBidi" w:hAnsiTheme="majorBidi" w:cstheme="majorBidi"/>
        </w:rPr>
      </w:pPr>
      <w:r w:rsidRPr="00BD69C9">
        <w:rPr>
          <w:rFonts w:asciiTheme="majorBidi" w:hAnsiTheme="majorBidi" w:cstheme="majorBidi"/>
          <w:b/>
          <w:bCs/>
        </w:rPr>
        <w:t>Indexy spotrebiteľských cien (životných nákladov)</w:t>
      </w:r>
      <w:r w:rsidRPr="00BD69C9">
        <w:rPr>
          <w:rFonts w:asciiTheme="majorBidi" w:hAnsiTheme="majorBidi" w:cstheme="majorBidi"/>
        </w:rPr>
        <w:t xml:space="preserve"> sa počítajú z cien jednotlivých reprezenta</w:t>
      </w:r>
      <w:r w:rsidRPr="00BD69C9">
        <w:rPr>
          <w:rFonts w:asciiTheme="majorBidi" w:hAnsiTheme="majorBidi" w:cstheme="majorBidi"/>
        </w:rPr>
        <w:t>n</w:t>
      </w:r>
      <w:r w:rsidRPr="00BD69C9">
        <w:rPr>
          <w:rFonts w:asciiTheme="majorBidi" w:hAnsiTheme="majorBidi" w:cstheme="majorBidi"/>
        </w:rPr>
        <w:t>tov zistených vo vybranej sieti predajní a prevádzok služieb. Základným obdobím pre index spotrebiteľských cien je december 2000.</w:t>
      </w:r>
    </w:p>
    <w:p w:rsidR="00571442" w:rsidRPr="00BD69C9" w:rsidRDefault="00FE6FB0">
      <w:pPr>
        <w:pStyle w:val="Zkladntext"/>
        <w:rPr>
          <w:rFonts w:asciiTheme="majorBidi" w:hAnsiTheme="majorBidi" w:cstheme="majorBidi"/>
        </w:rPr>
      </w:pPr>
      <w:r w:rsidRPr="00BD69C9">
        <w:rPr>
          <w:rFonts w:asciiTheme="majorBidi" w:hAnsiTheme="majorBidi" w:cstheme="majorBidi"/>
        </w:rPr>
        <w:t>Od januára 2019 sa vývoj indexov spotrebiteľských cien podľa národnej metodiky sledoval na univerzálnom spotrebnom koši, založenom na súbore 728 reprezentantov – vybraných druhov tovarov a služieb platených obyvateľstvom. Aktualizovaný spotrebný kôš bol prerokovaný a schválený zástupcami štatistických orgánov, ministerstiev a ďalších inštitúcií.</w:t>
      </w:r>
    </w:p>
    <w:p w:rsidR="00FE6FB0" w:rsidRPr="00BD69C9" w:rsidRDefault="00FE6FB0">
      <w:pPr>
        <w:pStyle w:val="Zkladntext"/>
        <w:rPr>
          <w:rFonts w:asciiTheme="majorBidi" w:hAnsiTheme="majorBidi" w:cstheme="majorBidi"/>
        </w:rPr>
      </w:pPr>
      <w:r w:rsidRPr="00BD69C9">
        <w:rPr>
          <w:rFonts w:asciiTheme="majorBidi" w:hAnsiTheme="majorBidi" w:cstheme="majorBidi"/>
        </w:rPr>
        <w:t>Index spotrebiteľských cien tovarov a služieb (životných nákladov) pre všetky domácnosti charakterizuje cenový vývoj v celospoločenskom priemere. Indexy spotrebiteľských cien (živo</w:t>
      </w:r>
      <w:r w:rsidRPr="00BD69C9">
        <w:rPr>
          <w:rFonts w:asciiTheme="majorBidi" w:hAnsiTheme="majorBidi" w:cstheme="majorBidi"/>
        </w:rPr>
        <w:t>t</w:t>
      </w:r>
      <w:r w:rsidRPr="00BD69C9">
        <w:rPr>
          <w:rFonts w:asciiTheme="majorBidi" w:hAnsiTheme="majorBidi" w:cstheme="majorBidi"/>
        </w:rPr>
        <w:t>ných nákladov) sa vypočítavajú aj pre vybrané typy sociálnych skupín domácností – zamestna</w:t>
      </w:r>
      <w:r w:rsidRPr="00BD69C9">
        <w:rPr>
          <w:rFonts w:asciiTheme="majorBidi" w:hAnsiTheme="majorBidi" w:cstheme="majorBidi"/>
        </w:rPr>
        <w:t>n</w:t>
      </w:r>
      <w:r w:rsidRPr="00BD69C9">
        <w:rPr>
          <w:rFonts w:asciiTheme="majorBidi" w:hAnsiTheme="majorBidi" w:cstheme="majorBidi"/>
        </w:rPr>
        <w:t>cov, dôchodcov a za skupinu nízkopríjmových domácností. Výber reprezentantov v týchto ind</w:t>
      </w:r>
      <w:r w:rsidRPr="00BD69C9">
        <w:rPr>
          <w:rFonts w:asciiTheme="majorBidi" w:hAnsiTheme="majorBidi" w:cstheme="majorBidi"/>
        </w:rPr>
        <w:t>e</w:t>
      </w:r>
      <w:r w:rsidRPr="00BD69C9">
        <w:rPr>
          <w:rFonts w:asciiTheme="majorBidi" w:hAnsiTheme="majorBidi" w:cstheme="majorBidi"/>
        </w:rPr>
        <w:t>xoch spotrebiteľských cien (životných nákladov) je rovnaký, odlišujú sa iba ich váhy. Aktualiz</w:t>
      </w:r>
      <w:r w:rsidRPr="00BD69C9">
        <w:rPr>
          <w:rFonts w:asciiTheme="majorBidi" w:hAnsiTheme="majorBidi" w:cstheme="majorBidi"/>
        </w:rPr>
        <w:t>á</w:t>
      </w:r>
      <w:r w:rsidRPr="00BD69C9">
        <w:rPr>
          <w:rFonts w:asciiTheme="majorBidi" w:hAnsiTheme="majorBidi" w:cstheme="majorBidi"/>
        </w:rPr>
        <w:t>cia reprezentantov spotrebného koša sa vykonáva ročne. Spotrebný kôš sa člení podľa klasifik</w:t>
      </w:r>
      <w:r w:rsidRPr="00BD69C9">
        <w:rPr>
          <w:rFonts w:asciiTheme="majorBidi" w:hAnsiTheme="majorBidi" w:cstheme="majorBidi"/>
        </w:rPr>
        <w:t>á</w:t>
      </w:r>
      <w:r w:rsidRPr="00BD69C9">
        <w:rPr>
          <w:rFonts w:asciiTheme="majorBidi" w:hAnsiTheme="majorBidi" w:cstheme="majorBidi"/>
        </w:rPr>
        <w:t>cie COICOP (Klasifikácia individuálnej spotreby podľa účelu použitia), ktorá je zaužívaná v krajinách Európskej únie. Spotrebný kôš sa člení na 12 odborov a 44 skupín klasifikácie CO</w:t>
      </w:r>
      <w:r w:rsidRPr="00BD69C9">
        <w:rPr>
          <w:rFonts w:asciiTheme="majorBidi" w:hAnsiTheme="majorBidi" w:cstheme="majorBidi"/>
        </w:rPr>
        <w:t>I</w:t>
      </w:r>
      <w:r w:rsidRPr="00BD69C9">
        <w:rPr>
          <w:rFonts w:asciiTheme="majorBidi" w:hAnsiTheme="majorBidi" w:cstheme="majorBidi"/>
        </w:rPr>
        <w:t xml:space="preserve">COP. </w:t>
      </w:r>
    </w:p>
    <w:p w:rsidR="00FE6FB0" w:rsidRPr="00BD69C9" w:rsidRDefault="00FE6FB0">
      <w:pPr>
        <w:pStyle w:val="Zkladntext"/>
        <w:rPr>
          <w:rFonts w:asciiTheme="majorBidi" w:hAnsiTheme="majorBidi" w:cstheme="majorBidi"/>
        </w:rPr>
      </w:pPr>
      <w:r w:rsidRPr="00BD69C9">
        <w:rPr>
          <w:rFonts w:asciiTheme="majorBidi" w:hAnsiTheme="majorBidi" w:cstheme="majorBidi"/>
        </w:rPr>
        <w:t>Od januára 2005 sa index spotrebiteľských cien k základnému obdobiu (december 2000) v</w:t>
      </w:r>
      <w:r w:rsidRPr="00BD69C9">
        <w:rPr>
          <w:rFonts w:asciiTheme="majorBidi" w:hAnsiTheme="majorBidi" w:cstheme="majorBidi"/>
        </w:rPr>
        <w:t>y</w:t>
      </w:r>
      <w:r w:rsidRPr="00BD69C9">
        <w:rPr>
          <w:rFonts w:asciiTheme="majorBidi" w:hAnsiTheme="majorBidi" w:cstheme="majorBidi"/>
        </w:rPr>
        <w:t>počítava reťazením cez december predchádzajúceho roka. Aby bolo zabezpečené, že váhy za základné agregáty odrážajú súčasnú výdavkovú vzorku a spotrebiteľské správanie, váhy sa ka</w:t>
      </w:r>
      <w:r w:rsidRPr="00BD69C9">
        <w:rPr>
          <w:rFonts w:asciiTheme="majorBidi" w:hAnsiTheme="majorBidi" w:cstheme="majorBidi"/>
        </w:rPr>
        <w:t>ž</w:t>
      </w:r>
      <w:r w:rsidRPr="00BD69C9">
        <w:rPr>
          <w:rFonts w:asciiTheme="majorBidi" w:hAnsiTheme="majorBidi" w:cstheme="majorBidi"/>
        </w:rPr>
        <w:t>doročne aktualizujú. Dôležitou črtou reťazového indexu je, že táto každoročná aktualizácia spotrebného koša (vrátane váh jednotlivých reprezentantov) umožňuje a uľahčuje zavedenie nových položiek a odstránenie zastaraných, resp. položiek, na ktoré obyvateľstvo vynakladá minimálne výdavky.</w:t>
      </w:r>
    </w:p>
    <w:p w:rsidR="00FE6FB0" w:rsidRPr="00BD69C9" w:rsidRDefault="00FE6FB0">
      <w:pPr>
        <w:pStyle w:val="Zkladntext"/>
        <w:rPr>
          <w:rFonts w:asciiTheme="majorBidi" w:hAnsiTheme="majorBidi" w:cstheme="majorBidi"/>
        </w:rPr>
      </w:pPr>
      <w:r w:rsidRPr="00BD69C9">
        <w:rPr>
          <w:rFonts w:asciiTheme="majorBidi" w:hAnsiTheme="majorBidi" w:cstheme="majorBidi"/>
        </w:rPr>
        <w:t>Na zabezpečenie prepojenia starých a nových časových radov je pri výpočte reťazového ind</w:t>
      </w:r>
      <w:r w:rsidRPr="00BD69C9">
        <w:rPr>
          <w:rFonts w:asciiTheme="majorBidi" w:hAnsiTheme="majorBidi" w:cstheme="majorBidi"/>
        </w:rPr>
        <w:t>e</w:t>
      </w:r>
      <w:r w:rsidRPr="00BD69C9">
        <w:rPr>
          <w:rFonts w:asciiTheme="majorBidi" w:hAnsiTheme="majorBidi" w:cstheme="majorBidi"/>
        </w:rPr>
        <w:t>xu potrebné prekrývacie obdobie, v ktorom má byť index počítaný, použijúc starú a novú sadu váh. Týmto prekrývacím obdobím môže byť mesiac alebo rok. ŠÚ SR pri výpočte indexu reťaz</w:t>
      </w:r>
      <w:r w:rsidRPr="00BD69C9">
        <w:rPr>
          <w:rFonts w:asciiTheme="majorBidi" w:hAnsiTheme="majorBidi" w:cstheme="majorBidi"/>
        </w:rPr>
        <w:t>e</w:t>
      </w:r>
      <w:r w:rsidRPr="00BD69C9">
        <w:rPr>
          <w:rFonts w:asciiTheme="majorBidi" w:hAnsiTheme="majorBidi" w:cstheme="majorBidi"/>
        </w:rPr>
        <w:t xml:space="preserve">ním stanovil december predchádzajúceho roka ako prekrývacie obdobie, tzn. že v roku 2019 prekrývacím obdobím pri výpočte indexu bol december 2018. December 2018 bol posledným obdobím, za ktoré sa počítal index na predchádzajúcom spotrebnom koši a systéme váh a zároveň bol referenčným (základným) obdobím pre ceny nového spotrebného koša a nový systém váh. December </w:t>
      </w:r>
      <w:r w:rsidRPr="00BD69C9">
        <w:rPr>
          <w:rFonts w:asciiTheme="majorBidi" w:hAnsiTheme="majorBidi" w:cstheme="majorBidi"/>
        </w:rPr>
        <w:lastRenderedPageBreak/>
        <w:t>predchádzajúceho roku tvorí prepojenie (prekrývacie obdobie) medzi predchádzajúcim a novým indexom a tieto vytvárajú reťazový index.</w:t>
      </w:r>
    </w:p>
    <w:p w:rsidR="00FE6FB0" w:rsidRPr="00BD69C9" w:rsidRDefault="00FE6FB0">
      <w:pPr>
        <w:pStyle w:val="Zkladntext"/>
        <w:rPr>
          <w:rFonts w:asciiTheme="majorBidi" w:hAnsiTheme="majorBidi" w:cstheme="majorBidi"/>
        </w:rPr>
      </w:pPr>
      <w:r w:rsidRPr="00BD69C9">
        <w:rPr>
          <w:rFonts w:asciiTheme="majorBidi" w:hAnsiTheme="majorBidi" w:cstheme="majorBidi"/>
        </w:rPr>
        <w:t>Nevýhodou metódy reťazenia je neaditivita, t. j. keď nový časový rad je prepojený na pre</w:t>
      </w:r>
      <w:r w:rsidRPr="00BD69C9">
        <w:rPr>
          <w:rFonts w:asciiTheme="majorBidi" w:hAnsiTheme="majorBidi" w:cstheme="majorBidi"/>
        </w:rPr>
        <w:t>d</w:t>
      </w:r>
      <w:r w:rsidRPr="00BD69C9">
        <w:rPr>
          <w:rFonts w:asciiTheme="majorBidi" w:hAnsiTheme="majorBidi" w:cstheme="majorBidi"/>
        </w:rPr>
        <w:t>chádzajúci časový rad, indexy vyššej úrovne po prepojení nemôžu byť získané ako vážený ari</w:t>
      </w:r>
      <w:r w:rsidRPr="00BD69C9">
        <w:rPr>
          <w:rFonts w:asciiTheme="majorBidi" w:hAnsiTheme="majorBidi" w:cstheme="majorBidi"/>
        </w:rPr>
        <w:t>t</w:t>
      </w:r>
      <w:r w:rsidRPr="00BD69C9">
        <w:rPr>
          <w:rFonts w:asciiTheme="majorBidi" w:hAnsiTheme="majorBidi" w:cstheme="majorBidi"/>
        </w:rPr>
        <w:t>metický priemer jednotlivých indexov pri použití nových váh.</w:t>
      </w:r>
    </w:p>
    <w:p w:rsidR="00571442" w:rsidRPr="00BD69C9" w:rsidRDefault="00FE6FB0">
      <w:pPr>
        <w:pStyle w:val="Zkladntext"/>
        <w:rPr>
          <w:rFonts w:asciiTheme="majorBidi" w:hAnsiTheme="majorBidi" w:cstheme="majorBidi"/>
        </w:rPr>
      </w:pPr>
      <w:r w:rsidRPr="00BD69C9">
        <w:rPr>
          <w:rFonts w:asciiTheme="majorBidi" w:hAnsiTheme="majorBidi" w:cstheme="majorBidi"/>
          <w:b/>
          <w:bCs/>
        </w:rPr>
        <w:t>Priemerné spotrebiteľské ceny</w:t>
      </w:r>
      <w:r w:rsidRPr="00BD69C9">
        <w:rPr>
          <w:rFonts w:asciiTheme="majorBidi" w:hAnsiTheme="majorBidi" w:cstheme="majorBidi"/>
        </w:rPr>
        <w:t xml:space="preserve"> </w:t>
      </w:r>
      <w:r w:rsidRPr="00BD69C9">
        <w:rPr>
          <w:rFonts w:asciiTheme="majorBidi" w:hAnsiTheme="majorBidi" w:cstheme="majorBidi"/>
          <w:b/>
          <w:bCs/>
        </w:rPr>
        <w:t>vybraných výrobkov</w:t>
      </w:r>
      <w:r w:rsidRPr="00BD69C9">
        <w:rPr>
          <w:rFonts w:asciiTheme="majorBidi" w:hAnsiTheme="majorBidi" w:cstheme="majorBidi"/>
        </w:rPr>
        <w:t xml:space="preserve"> sú priemerné ceny za SR vypočítané z cien zistených vo vybraných predajniach a prevádzkach služieb.</w:t>
      </w:r>
    </w:p>
    <w:p w:rsidR="00571442" w:rsidRPr="00BD69C9" w:rsidRDefault="00FE6FB0">
      <w:pPr>
        <w:pStyle w:val="Zkladntext"/>
        <w:rPr>
          <w:rFonts w:asciiTheme="majorBidi" w:hAnsiTheme="majorBidi" w:cstheme="majorBidi"/>
        </w:rPr>
      </w:pPr>
      <w:r w:rsidRPr="00BD69C9">
        <w:rPr>
          <w:rFonts w:asciiTheme="majorBidi" w:hAnsiTheme="majorBidi" w:cstheme="majorBidi"/>
          <w:b/>
          <w:bCs/>
        </w:rPr>
        <w:t>Jadrová a čistá inflácia</w:t>
      </w:r>
      <w:r w:rsidRPr="00BD69C9">
        <w:rPr>
          <w:rFonts w:asciiTheme="majorBidi" w:hAnsiTheme="majorBidi" w:cstheme="majorBidi"/>
        </w:rPr>
        <w:t xml:space="preserve"> kvantifikuje mieru rastu cenovej hladiny na neúplnom spotrebnom k</w:t>
      </w:r>
      <w:r w:rsidRPr="00BD69C9">
        <w:rPr>
          <w:rFonts w:asciiTheme="majorBidi" w:hAnsiTheme="majorBidi" w:cstheme="majorBidi"/>
        </w:rPr>
        <w:t>o</w:t>
      </w:r>
      <w:r w:rsidRPr="00BD69C9">
        <w:rPr>
          <w:rFonts w:asciiTheme="majorBidi" w:hAnsiTheme="majorBidi" w:cstheme="majorBidi"/>
        </w:rPr>
        <w:t>ši. Zo spotrebného koša sú vylúčené položky s regulovanými cenami a položky s cenami ovply</w:t>
      </w:r>
      <w:r w:rsidRPr="00BD69C9">
        <w:rPr>
          <w:rFonts w:asciiTheme="majorBidi" w:hAnsiTheme="majorBidi" w:cstheme="majorBidi"/>
        </w:rPr>
        <w:t>v</w:t>
      </w:r>
      <w:r w:rsidRPr="00BD69C9">
        <w:rPr>
          <w:rFonts w:asciiTheme="majorBidi" w:hAnsiTheme="majorBidi" w:cstheme="majorBidi"/>
        </w:rPr>
        <w:t>ňovanými inými administratívnymi opatreniami. Položky, pri ktorých dôjde k cenovým zmenám z dôvodu daňových úprav (napr. zmien DPH, spotrebných daní), zostávajú súčasťou spotrebn</w:t>
      </w:r>
      <w:r w:rsidRPr="00BD69C9">
        <w:rPr>
          <w:rFonts w:asciiTheme="majorBidi" w:hAnsiTheme="majorBidi" w:cstheme="majorBidi"/>
        </w:rPr>
        <w:t>é</w:t>
      </w:r>
      <w:r w:rsidRPr="00BD69C9">
        <w:rPr>
          <w:rFonts w:asciiTheme="majorBidi" w:hAnsiTheme="majorBidi" w:cstheme="majorBidi"/>
        </w:rPr>
        <w:t>ho koša, ale vplyv daňových úprav sa eliminuje. Celková inflácia sa rozkladá na jadrovú infláciu (vplyv položiek s trhovými cenami), vplyv položiek s regulovanými cenami a vplyv nepriamych daní (eliminácia daňových úprav). Príspevok jadrovej inflácie vyjadruje, o koľko percent by sa v príslušnom období zmenila cenová hladina, keby nedošlo k zmene cien vplyvom administratí</w:t>
      </w:r>
      <w:r w:rsidRPr="00BD69C9">
        <w:rPr>
          <w:rFonts w:asciiTheme="majorBidi" w:hAnsiTheme="majorBidi" w:cstheme="majorBidi"/>
        </w:rPr>
        <w:t>v</w:t>
      </w:r>
      <w:r w:rsidRPr="00BD69C9">
        <w:rPr>
          <w:rFonts w:asciiTheme="majorBidi" w:hAnsiTheme="majorBidi" w:cstheme="majorBidi"/>
        </w:rPr>
        <w:t>nych zásahov. To znamená, že pokiaľ nedochádza k žiadnym zmenám regulovaných cien a ani k zmenám daní, je príspevok jadrovej inflácie zhodný s celkovou infláciou. Príspevok jadrovej inflácie (v percentuálnych bodoch) k celkovej inflácii sa ďalej rozkladá na príspevok čistej infl</w:t>
      </w:r>
      <w:r w:rsidRPr="00BD69C9">
        <w:rPr>
          <w:rFonts w:asciiTheme="majorBidi" w:hAnsiTheme="majorBidi" w:cstheme="majorBidi"/>
        </w:rPr>
        <w:t>á</w:t>
      </w:r>
      <w:r w:rsidRPr="00BD69C9">
        <w:rPr>
          <w:rFonts w:asciiTheme="majorBidi" w:hAnsiTheme="majorBidi" w:cstheme="majorBidi"/>
        </w:rPr>
        <w:t>cie a príspevok cien potravín. Dôvodom na oddelenie podielu potravín od čistej inflácie bol fakt, že ceny potravín v minulosti podliehali značnej sezónnosti, ako aj netrhovým opatreniam vlády (napr. zmeny garantovaných cien pre prvovýrobcov, dotácií, dovozných ciel, kvót).</w:t>
      </w:r>
    </w:p>
    <w:p w:rsidR="00FE6FB0" w:rsidRPr="00BD69C9" w:rsidRDefault="00FE6FB0">
      <w:pPr>
        <w:pStyle w:val="Zkladntext"/>
        <w:rPr>
          <w:rFonts w:asciiTheme="majorBidi" w:hAnsiTheme="majorBidi" w:cstheme="majorBidi"/>
        </w:rPr>
      </w:pPr>
      <w:r w:rsidRPr="00BD69C9">
        <w:rPr>
          <w:rFonts w:asciiTheme="majorBidi" w:hAnsiTheme="majorBidi" w:cstheme="majorBidi"/>
          <w:b/>
          <w:bCs/>
        </w:rPr>
        <w:t>Harmonizované indexy spotrebiteľských cien</w:t>
      </w:r>
      <w:r w:rsidRPr="00BD69C9">
        <w:rPr>
          <w:rFonts w:asciiTheme="majorBidi" w:hAnsiTheme="majorBidi" w:cstheme="majorBidi"/>
        </w:rPr>
        <w:t xml:space="preserve"> (pre tieto indexy je v praxi zaužívaná skratka HICP, odvodená z anglického názvu:</w:t>
      </w:r>
      <w:r w:rsidRPr="00BD69C9">
        <w:rPr>
          <w:rFonts w:asciiTheme="majorBidi" w:hAnsiTheme="majorBidi" w:cstheme="majorBidi"/>
          <w:b/>
          <w:bCs/>
        </w:rPr>
        <w:t xml:space="preserve"> </w:t>
      </w:r>
      <w:r w:rsidRPr="00BD69C9">
        <w:rPr>
          <w:rFonts w:asciiTheme="majorBidi" w:hAnsiTheme="majorBidi" w:cstheme="majorBidi"/>
        </w:rPr>
        <w:t>–</w:t>
      </w:r>
      <w:r w:rsidRPr="00BD69C9">
        <w:rPr>
          <w:rFonts w:asciiTheme="majorBidi" w:hAnsiTheme="majorBidi" w:cstheme="majorBidi"/>
          <w:b/>
          <w:bCs/>
        </w:rPr>
        <w:t xml:space="preserve"> </w:t>
      </w:r>
      <w:r w:rsidRPr="00BD69C9">
        <w:rPr>
          <w:rFonts w:asciiTheme="majorBidi" w:hAnsiTheme="majorBidi" w:cstheme="majorBidi"/>
        </w:rPr>
        <w:t>Harmonized Indices of Consumer Prices) sa začali zo</w:t>
      </w:r>
      <w:r w:rsidRPr="00BD69C9">
        <w:rPr>
          <w:rFonts w:asciiTheme="majorBidi" w:hAnsiTheme="majorBidi" w:cstheme="majorBidi"/>
        </w:rPr>
        <w:t>s</w:t>
      </w:r>
      <w:r w:rsidRPr="00BD69C9">
        <w:rPr>
          <w:rFonts w:asciiTheme="majorBidi" w:hAnsiTheme="majorBidi" w:cstheme="majorBidi"/>
        </w:rPr>
        <w:t xml:space="preserve">tavovať s cieľom zabezpečiť porovnateľnosť indexov spotrebiteľských cien jednotlivých krajín v rámci Európskej únie. </w:t>
      </w:r>
      <w:r w:rsidRPr="00BD69C9">
        <w:rPr>
          <w:rFonts w:asciiTheme="majorBidi" w:hAnsiTheme="majorBidi" w:cstheme="majorBidi"/>
          <w:spacing w:val="-2"/>
        </w:rPr>
        <w:t>Priemerná ročná miera inflácie, meraná harmonizovaným indexom spo</w:t>
      </w:r>
      <w:r w:rsidRPr="00BD69C9">
        <w:rPr>
          <w:rFonts w:asciiTheme="majorBidi" w:hAnsiTheme="majorBidi" w:cstheme="majorBidi"/>
          <w:spacing w:val="-2"/>
        </w:rPr>
        <w:t>t</w:t>
      </w:r>
      <w:r w:rsidRPr="00BD69C9">
        <w:rPr>
          <w:rFonts w:asciiTheme="majorBidi" w:hAnsiTheme="majorBidi" w:cstheme="majorBidi"/>
          <w:spacing w:val="-2"/>
        </w:rPr>
        <w:t xml:space="preserve">rebiteľských cien, sa využíva aj ako kritérium pre cenovú stabilitu. Toto kritérium je jedným zo štyroch </w:t>
      </w:r>
      <w:r w:rsidRPr="00BD69C9">
        <w:rPr>
          <w:rFonts w:asciiTheme="majorBidi" w:hAnsiTheme="majorBidi" w:cstheme="majorBidi"/>
        </w:rPr>
        <w:t>konvergenčných (takzvaných maastrichtských) kritérií, ktoré musia členské štáty EÚ splniť na dosiahnutie tretej etapy hospodárskej a menovej únie (HMÚ), t.j. etapy so spoločnou menou Euro.</w:t>
      </w:r>
      <w:r w:rsidRPr="00BD69C9">
        <w:rPr>
          <w:rFonts w:asciiTheme="majorBidi" w:hAnsiTheme="majorBidi" w:cstheme="majorBidi"/>
          <w:spacing w:val="-2"/>
        </w:rPr>
        <w:t xml:space="preserve"> Kritérium cenovej stability stanovuje, že p</w:t>
      </w:r>
      <w:r w:rsidRPr="00BD69C9">
        <w:rPr>
          <w:rFonts w:asciiTheme="majorBidi" w:hAnsiTheme="majorBidi" w:cstheme="majorBidi"/>
        </w:rPr>
        <w:t>riemerná miera inflácie za posledných 12 mesiacov (meraná HICP), nesmie, v období preskúmavania, presiahnuť priemer troch krajín EÚ s najlepšími výsledkami v oblasti cenovej stability o viac ako 1,5 percentuálneho bodu.</w:t>
      </w:r>
    </w:p>
    <w:p w:rsidR="00FE6FB0" w:rsidRPr="00BD69C9" w:rsidRDefault="00FE6FB0">
      <w:pPr>
        <w:pStyle w:val="Zkladntext"/>
        <w:rPr>
          <w:rFonts w:asciiTheme="majorBidi" w:hAnsiTheme="majorBidi" w:cstheme="majorBidi"/>
        </w:rPr>
      </w:pPr>
      <w:r w:rsidRPr="00BD69C9">
        <w:rPr>
          <w:rFonts w:asciiTheme="majorBidi" w:hAnsiTheme="majorBidi" w:cstheme="majorBidi"/>
          <w:spacing w:val="-2"/>
        </w:rPr>
        <w:t>Harmonizované indexy spotrebiteľských cien</w:t>
      </w:r>
      <w:r w:rsidRPr="00BD69C9">
        <w:rPr>
          <w:rFonts w:asciiTheme="majorBidi" w:hAnsiTheme="majorBidi" w:cstheme="majorBidi"/>
        </w:rPr>
        <w:t xml:space="preserve"> všetkých štátov EÚ sú základom pre výpočet E</w:t>
      </w:r>
      <w:r w:rsidRPr="00BD69C9">
        <w:rPr>
          <w:rFonts w:asciiTheme="majorBidi" w:hAnsiTheme="majorBidi" w:cstheme="majorBidi"/>
        </w:rPr>
        <w:t>u</w:t>
      </w:r>
      <w:r w:rsidRPr="00BD69C9">
        <w:rPr>
          <w:rFonts w:asciiTheme="majorBidi" w:hAnsiTheme="majorBidi" w:cstheme="majorBidi"/>
        </w:rPr>
        <w:t xml:space="preserve">rópskeho indexu spotrebiteľských cien (EICP). HICP tých členských krajín, ktoré patria do euro oblasti, tvoria základ na mesačný výpočet Indexu spotrebiteľských cien menovej únie (MUICP). Prechod do menovej únie, t. j. tretej etapy HMÚ, je realizovaný postupne – v roku 2018 bolo v eurozóne začlenených 19 z 28 členských štátov EÚ. </w:t>
      </w:r>
    </w:p>
    <w:p w:rsidR="00571442" w:rsidRPr="00BD69C9" w:rsidRDefault="00FE6FB0">
      <w:pPr>
        <w:pStyle w:val="Zkladntext"/>
        <w:rPr>
          <w:rFonts w:asciiTheme="majorBidi" w:hAnsiTheme="majorBidi" w:cstheme="majorBidi"/>
        </w:rPr>
      </w:pPr>
      <w:r w:rsidRPr="00BD69C9">
        <w:rPr>
          <w:rFonts w:asciiTheme="majorBidi" w:hAnsiTheme="majorBidi" w:cstheme="majorBidi"/>
        </w:rPr>
        <w:t>V roku 2019 sa vývoj harmonizovaného indexu spotrebiteľských cien sledoval na 728 reprezentantoch (z pokrytia HICP sú zatiaľ vylúčené niektoré položky vzťahujúce sa na bývanie vo vlastnom obydlí). Základné obdobie pre harmonizovaný index spotrebiteľských cien je v súčasnosti priemer roka 2015. Harmonizovaný index k základnému obdobiu sa vypoč</w:t>
      </w:r>
      <w:r w:rsidRPr="00BD69C9">
        <w:rPr>
          <w:rFonts w:asciiTheme="majorBidi" w:hAnsiTheme="majorBidi" w:cstheme="majorBidi"/>
        </w:rPr>
        <w:t>í</w:t>
      </w:r>
      <w:r w:rsidRPr="00BD69C9">
        <w:rPr>
          <w:rFonts w:asciiTheme="majorBidi" w:hAnsiTheme="majorBidi" w:cstheme="majorBidi"/>
        </w:rPr>
        <w:t>tava reťazením cez december predchádzajúceho roka. Aby bolo zabezpečené, že váhy za zákla</w:t>
      </w:r>
      <w:r w:rsidRPr="00BD69C9">
        <w:rPr>
          <w:rFonts w:asciiTheme="majorBidi" w:hAnsiTheme="majorBidi" w:cstheme="majorBidi"/>
        </w:rPr>
        <w:t>d</w:t>
      </w:r>
      <w:r w:rsidRPr="00BD69C9">
        <w:rPr>
          <w:rFonts w:asciiTheme="majorBidi" w:hAnsiTheme="majorBidi" w:cstheme="majorBidi"/>
        </w:rPr>
        <w:t>né agregáty odrážajú súčasnú výdavkovú štruktúru a spotrebiteľské správanie, váhy sa každoro</w:t>
      </w:r>
      <w:r w:rsidRPr="00BD69C9">
        <w:rPr>
          <w:rFonts w:asciiTheme="majorBidi" w:hAnsiTheme="majorBidi" w:cstheme="majorBidi"/>
        </w:rPr>
        <w:t>č</w:t>
      </w:r>
      <w:r w:rsidRPr="00BD69C9">
        <w:rPr>
          <w:rFonts w:asciiTheme="majorBidi" w:hAnsiTheme="majorBidi" w:cstheme="majorBidi"/>
        </w:rPr>
        <w:t>ne revidujú. HICP váhy sú cenovo aktualizované k decembru predchádzajúceho roka. Spotrebný kôš sa člení podľa kategórií Európskej klasifikácie individuálnej spotreby podľa účelu (ECO</w:t>
      </w:r>
      <w:r w:rsidRPr="00BD69C9">
        <w:rPr>
          <w:rFonts w:asciiTheme="majorBidi" w:hAnsiTheme="majorBidi" w:cstheme="majorBidi"/>
        </w:rPr>
        <w:t>I</w:t>
      </w:r>
      <w:r w:rsidRPr="00BD69C9">
        <w:rPr>
          <w:rFonts w:asciiTheme="majorBidi" w:hAnsiTheme="majorBidi" w:cstheme="majorBidi"/>
        </w:rPr>
        <w:t>COP).</w:t>
      </w:r>
    </w:p>
    <w:p w:rsidR="00FE6FB0" w:rsidRPr="00BD69C9" w:rsidRDefault="00FE6FB0">
      <w:pPr>
        <w:pStyle w:val="podnadpis"/>
        <w:rPr>
          <w:rFonts w:asciiTheme="majorBidi" w:hAnsiTheme="majorBidi" w:cstheme="majorBidi"/>
          <w:lang w:val="sk-SK"/>
        </w:rPr>
      </w:pPr>
      <w:r w:rsidRPr="00BD69C9">
        <w:rPr>
          <w:rFonts w:asciiTheme="majorBidi" w:hAnsiTheme="majorBidi" w:cstheme="majorBidi"/>
          <w:lang w:val="sk-SK"/>
        </w:rPr>
        <w:t>Definície</w:t>
      </w:r>
    </w:p>
    <w:p w:rsidR="00FE6FB0" w:rsidRPr="00BD69C9" w:rsidRDefault="00FE6FB0">
      <w:pPr>
        <w:pStyle w:val="Zkladntext"/>
        <w:rPr>
          <w:rFonts w:asciiTheme="majorBidi" w:hAnsiTheme="majorBidi" w:cstheme="majorBidi"/>
        </w:rPr>
      </w:pPr>
      <w:r w:rsidRPr="00BD69C9">
        <w:rPr>
          <w:rFonts w:asciiTheme="majorBidi" w:hAnsiTheme="majorBidi" w:cstheme="majorBidi"/>
          <w:b/>
          <w:bCs/>
        </w:rPr>
        <w:t>Cenové indexy</w:t>
      </w:r>
      <w:r w:rsidRPr="00BD69C9">
        <w:rPr>
          <w:rFonts w:asciiTheme="majorBidi" w:hAnsiTheme="majorBidi" w:cstheme="majorBidi"/>
        </w:rPr>
        <w:t xml:space="preserve"> sa konštruujú ako ­výberové indexy stáleho zloženia (vylučuje sa vplyv zmeny </w:t>
      </w:r>
      <w:r w:rsidRPr="00BD69C9">
        <w:rPr>
          <w:rFonts w:asciiTheme="majorBidi" w:hAnsiTheme="majorBidi" w:cstheme="majorBidi"/>
        </w:rPr>
        <w:lastRenderedPageBreak/>
        <w:t>štruktúry na úroveň cenového indexu). Sú­hrnné indexy sa vypočítajú agregovaním individuá</w:t>
      </w:r>
      <w:r w:rsidRPr="00BD69C9">
        <w:rPr>
          <w:rFonts w:asciiTheme="majorBidi" w:hAnsiTheme="majorBidi" w:cstheme="majorBidi"/>
        </w:rPr>
        <w:t>l</w:t>
      </w:r>
      <w:r w:rsidRPr="00BD69C9">
        <w:rPr>
          <w:rFonts w:asciiTheme="majorBidi" w:hAnsiTheme="majorBidi" w:cstheme="majorBidi"/>
        </w:rPr>
        <w:t>nych jednoduchých indexov cien reprezentantov prostredníctvom vhodného systému váh, t. j. štruktúry tržieb z predaja výrobkov (výdavkov domácností na tovary a služby) základného roka. Indexové schémy (systémy váh, reprezentantov a respondentov) sa v pravidelných 5-ročných intervaloch prehodnocujú a prispôsobujú aktuálnym štruktúram. Od roku 2017 sa cenové indexy producentov počítajú k základnému obdobiu december 2015, resp. priemer roka 2015. Na v</w:t>
      </w:r>
      <w:r w:rsidRPr="00BD69C9">
        <w:rPr>
          <w:rFonts w:asciiTheme="majorBidi" w:hAnsiTheme="majorBidi" w:cstheme="majorBidi"/>
        </w:rPr>
        <w:t>ý</w:t>
      </w:r>
      <w:r w:rsidRPr="00BD69C9">
        <w:rPr>
          <w:rFonts w:asciiTheme="majorBidi" w:hAnsiTheme="majorBidi" w:cstheme="majorBidi"/>
        </w:rPr>
        <w:t>počet cenových indexov sa používa Laspeyresov vzorec.</w:t>
      </w:r>
    </w:p>
    <w:p w:rsidR="00FE6FB0" w:rsidRPr="00BD69C9" w:rsidRDefault="00FE6FB0">
      <w:pPr>
        <w:pStyle w:val="Zkladntext"/>
        <w:rPr>
          <w:rFonts w:asciiTheme="majorBidi" w:hAnsiTheme="majorBidi" w:cstheme="majorBidi"/>
        </w:rPr>
      </w:pPr>
      <w:r w:rsidRPr="00BD69C9">
        <w:rPr>
          <w:rFonts w:asciiTheme="majorBidi" w:hAnsiTheme="majorBidi" w:cstheme="majorBidi"/>
          <w:b/>
          <w:bCs/>
        </w:rPr>
        <w:t>Cena výrobcu</w:t>
      </w:r>
      <w:r w:rsidRPr="00BD69C9">
        <w:rPr>
          <w:rFonts w:asciiTheme="majorBidi" w:hAnsiTheme="majorBidi" w:cstheme="majorBidi"/>
        </w:rPr>
        <w:t xml:space="preserve"> je zmluvná cena dohodnutá medzi výrobcom a odberateľom v tuzemsku bez dane z pridanej hodnoty a spotrebnej dane (bez nákladov na dopravu k zákazníkovi a nákladov s ňou spojených), fakturovaná za významnejší obchodný prípad realizovaný v strede príslušného mesiaca.</w:t>
      </w:r>
    </w:p>
    <w:p w:rsidR="00571442" w:rsidRPr="00BD69C9" w:rsidRDefault="00FE6FB0">
      <w:pPr>
        <w:pStyle w:val="Zkladntext"/>
        <w:rPr>
          <w:rFonts w:asciiTheme="majorBidi" w:hAnsiTheme="majorBidi" w:cstheme="majorBidi"/>
        </w:rPr>
      </w:pPr>
      <w:r w:rsidRPr="00BD69C9">
        <w:rPr>
          <w:rFonts w:asciiTheme="majorBidi" w:hAnsiTheme="majorBidi" w:cstheme="majorBidi"/>
          <w:b/>
          <w:bCs/>
        </w:rPr>
        <w:t>Vývozná cena</w:t>
      </w:r>
      <w:r w:rsidRPr="00BD69C9">
        <w:rPr>
          <w:rFonts w:asciiTheme="majorBidi" w:hAnsiTheme="majorBidi" w:cstheme="majorBidi"/>
        </w:rPr>
        <w:t xml:space="preserve"> je zmluvná cena medzi výrobcom a zahraničným odberateľom podľa dohodn</w:t>
      </w:r>
      <w:r w:rsidRPr="00BD69C9">
        <w:rPr>
          <w:rFonts w:asciiTheme="majorBidi" w:hAnsiTheme="majorBidi" w:cstheme="majorBidi"/>
        </w:rPr>
        <w:t>u</w:t>
      </w:r>
      <w:r w:rsidRPr="00BD69C9">
        <w:rPr>
          <w:rFonts w:asciiTheme="majorBidi" w:hAnsiTheme="majorBidi" w:cstheme="majorBidi"/>
        </w:rPr>
        <w:t>tých kvalitatívnych, platobných a dodacích podmienok. Fakturovaná cena odberateľovi je uv</w:t>
      </w:r>
      <w:r w:rsidRPr="00BD69C9">
        <w:rPr>
          <w:rFonts w:asciiTheme="majorBidi" w:hAnsiTheme="majorBidi" w:cstheme="majorBidi"/>
        </w:rPr>
        <w:t>á</w:t>
      </w:r>
      <w:r w:rsidRPr="00BD69C9">
        <w:rPr>
          <w:rFonts w:asciiTheme="majorBidi" w:hAnsiTheme="majorBidi" w:cstheme="majorBidi"/>
        </w:rPr>
        <w:t>dzaná bez DPH a spotrebnej dane.</w:t>
      </w:r>
    </w:p>
    <w:p w:rsidR="00FE6FB0" w:rsidRPr="00BD69C9" w:rsidRDefault="00FE6FB0">
      <w:pPr>
        <w:pStyle w:val="Zkladntext"/>
        <w:rPr>
          <w:rFonts w:asciiTheme="majorBidi" w:hAnsiTheme="majorBidi" w:cstheme="majorBidi"/>
        </w:rPr>
      </w:pPr>
      <w:r w:rsidRPr="00BD69C9">
        <w:rPr>
          <w:rFonts w:asciiTheme="majorBidi" w:hAnsiTheme="majorBidi" w:cstheme="majorBidi"/>
          <w:b/>
          <w:bCs/>
        </w:rPr>
        <w:t>Spotrebiteľská cena</w:t>
      </w:r>
      <w:r w:rsidRPr="00BD69C9">
        <w:rPr>
          <w:rFonts w:asciiTheme="majorBidi" w:hAnsiTheme="majorBidi" w:cstheme="majorBidi"/>
        </w:rPr>
        <w:t xml:space="preserve"> je zmluvná cena medzi predávajúcim a konečným spotrebiteľom. Zahŕňa cenu výrobcu, cenu obchodného výkonu (obchodnú maržu veľkoobchodu, maloobchodu), daň z pridanej hodnoty a ostatné dane (napr. spotrebnú daň).</w:t>
      </w:r>
    </w:p>
    <w:p w:rsidR="00FE6FB0" w:rsidRPr="00BD69C9" w:rsidRDefault="00FE6FB0">
      <w:pPr>
        <w:pStyle w:val="podnadpis"/>
        <w:rPr>
          <w:rFonts w:asciiTheme="majorBidi" w:hAnsiTheme="majorBidi" w:cstheme="majorBidi"/>
          <w:lang w:val="sk-SK"/>
        </w:rPr>
      </w:pPr>
      <w:r w:rsidRPr="00BD69C9">
        <w:rPr>
          <w:rFonts w:asciiTheme="majorBidi" w:hAnsiTheme="majorBidi" w:cstheme="majorBidi"/>
          <w:lang w:val="sk-SK"/>
        </w:rPr>
        <w:t>Zdroj údajov</w:t>
      </w:r>
    </w:p>
    <w:p w:rsidR="00FE6FB0" w:rsidRPr="00BD69C9" w:rsidRDefault="00FE6FB0">
      <w:pPr>
        <w:pStyle w:val="Zkladntext"/>
        <w:rPr>
          <w:rFonts w:asciiTheme="majorBidi" w:hAnsiTheme="majorBidi" w:cstheme="majorBidi"/>
        </w:rPr>
      </w:pPr>
      <w:r w:rsidRPr="00BD69C9">
        <w:rPr>
          <w:rFonts w:asciiTheme="majorBidi" w:hAnsiTheme="majorBidi" w:cstheme="majorBidi"/>
        </w:rPr>
        <w:t>Všetky publikované údaje sú výsledkom pravidelných zisťovaní a spracovaní ŠÚ SR.</w:t>
      </w:r>
    </w:p>
    <w:p w:rsidR="00571442" w:rsidRPr="00BD69C9" w:rsidRDefault="00FE6FB0">
      <w:pPr>
        <w:pStyle w:val="Zkladntext"/>
        <w:rPr>
          <w:rFonts w:asciiTheme="majorBidi" w:hAnsiTheme="majorBidi" w:cstheme="majorBidi"/>
        </w:rPr>
      </w:pPr>
      <w:r w:rsidRPr="00BD69C9">
        <w:rPr>
          <w:rFonts w:asciiTheme="majorBidi" w:hAnsiTheme="majorBidi" w:cstheme="majorBidi"/>
        </w:rPr>
        <w:t>Zdrojom údajov na výpočet indexov cien vo výrobnej sfére sú štátne štatistické výkazy, ktoré predkladajú vybrané vykazujúce jednotky. Ceny</w:t>
      </w:r>
      <w:r w:rsidRPr="00BD69C9">
        <w:rPr>
          <w:rFonts w:asciiTheme="majorBidi" w:hAnsiTheme="majorBidi" w:cstheme="majorBidi"/>
          <w:b/>
          <w:bCs/>
        </w:rPr>
        <w:t xml:space="preserve"> </w:t>
      </w:r>
      <w:r w:rsidRPr="00BD69C9">
        <w:rPr>
          <w:rFonts w:asciiTheme="majorBidi" w:hAnsiTheme="majorBidi" w:cstheme="majorBidi"/>
        </w:rPr>
        <w:t>surového dreva Štatistický úrad SR preberá z rezortného zisťovania Ministerstva pôdohospodárstva a rozvoja vidieka SR. Podrobnejšie i</w:t>
      </w:r>
      <w:r w:rsidRPr="00BD69C9">
        <w:rPr>
          <w:rFonts w:asciiTheme="majorBidi" w:hAnsiTheme="majorBidi" w:cstheme="majorBidi"/>
        </w:rPr>
        <w:t>n</w:t>
      </w:r>
      <w:r w:rsidRPr="00BD69C9">
        <w:rPr>
          <w:rFonts w:asciiTheme="majorBidi" w:hAnsiTheme="majorBidi" w:cstheme="majorBidi"/>
        </w:rPr>
        <w:t>formácie možno získať v mesačných publikáciách Indexy cien priemyselných výrobcov, Indexy cien poľnohospodárskych výrobkov, Indexy cien stavebných prác, materiálov a výrobkov spo</w:t>
      </w:r>
      <w:r w:rsidRPr="00BD69C9">
        <w:rPr>
          <w:rFonts w:asciiTheme="majorBidi" w:hAnsiTheme="majorBidi" w:cstheme="majorBidi"/>
        </w:rPr>
        <w:t>t</w:t>
      </w:r>
      <w:r w:rsidRPr="00BD69C9">
        <w:rPr>
          <w:rFonts w:asciiTheme="majorBidi" w:hAnsiTheme="majorBidi" w:cstheme="majorBidi"/>
        </w:rPr>
        <w:t xml:space="preserve">rebovávaných v stavebníctve. </w:t>
      </w:r>
    </w:p>
    <w:p w:rsidR="00FE6FB0" w:rsidRPr="00BD69C9" w:rsidRDefault="00FE6FB0">
      <w:pPr>
        <w:pStyle w:val="Zkladntext"/>
        <w:rPr>
          <w:rFonts w:asciiTheme="majorBidi" w:hAnsiTheme="majorBidi" w:cstheme="majorBidi"/>
        </w:rPr>
      </w:pPr>
      <w:r w:rsidRPr="00BD69C9">
        <w:rPr>
          <w:rFonts w:asciiTheme="majorBidi" w:hAnsiTheme="majorBidi" w:cstheme="majorBidi"/>
        </w:rPr>
        <w:t>Spotrebiteľské ceny tovarov a služieb na výpočet priemerných cien a indexov spotrebiteľských cien sa zisťujú vo vybraných predajniach a prevádzkach služieb v SR. Podrobnejšie údaje o i</w:t>
      </w:r>
      <w:r w:rsidRPr="00BD69C9">
        <w:rPr>
          <w:rFonts w:asciiTheme="majorBidi" w:hAnsiTheme="majorBidi" w:cstheme="majorBidi"/>
        </w:rPr>
        <w:t>n</w:t>
      </w:r>
      <w:r w:rsidRPr="00BD69C9">
        <w:rPr>
          <w:rFonts w:asciiTheme="majorBidi" w:hAnsiTheme="majorBidi" w:cstheme="majorBidi"/>
        </w:rPr>
        <w:t>dexoch spotrebiteľských cien možno získať v mesačnej publikácii Indexy spotrebiteľských cien v Slovenskej republike.</w:t>
      </w:r>
      <w:bookmarkEnd w:id="0"/>
    </w:p>
    <w:sectPr w:rsidR="00FE6FB0" w:rsidRPr="00BD69C9">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442"/>
    <w:rsid w:val="00571442"/>
    <w:rsid w:val="00BD69C9"/>
    <w:rsid w:val="00FE6FB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CDAF19B-2914-457C-885F-1536B31B8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2036</Words>
  <Characters>11606</Characters>
  <Application>Microsoft Office Word</Application>
  <DocSecurity>0</DocSecurity>
  <Lines>96</Lines>
  <Paragraphs>27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2</cp:revision>
  <dcterms:created xsi:type="dcterms:W3CDTF">2021-02-02T08:47:00Z</dcterms:created>
  <dcterms:modified xsi:type="dcterms:W3CDTF">2021-02-02T08:47:00Z</dcterms:modified>
</cp:coreProperties>
</file>