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3D" w:rsidRPr="00173D2A" w:rsidRDefault="00081A3D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173D2A">
        <w:rPr>
          <w:rFonts w:asciiTheme="majorBidi" w:hAnsiTheme="majorBidi" w:cstheme="majorBidi"/>
          <w:lang w:val="sk-SK"/>
        </w:rPr>
        <w:t>28. KRIMINALITA A SÚDNICTVO</w:t>
      </w:r>
    </w:p>
    <w:p w:rsidR="00081A3D" w:rsidRPr="00173D2A" w:rsidRDefault="00081A3D">
      <w:pPr>
        <w:pStyle w:val="podnadpis"/>
        <w:rPr>
          <w:rFonts w:asciiTheme="majorBidi" w:hAnsiTheme="majorBidi" w:cstheme="majorBidi"/>
          <w:lang w:val="sk-SK"/>
        </w:rPr>
      </w:pPr>
      <w:r w:rsidRPr="00173D2A">
        <w:rPr>
          <w:rFonts w:asciiTheme="majorBidi" w:hAnsiTheme="majorBidi" w:cstheme="majorBidi"/>
          <w:lang w:val="sk-SK"/>
        </w:rPr>
        <w:t>Metodické vysvetlivky</w:t>
      </w:r>
    </w:p>
    <w:p w:rsidR="005F4BFF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 xml:space="preserve">Údaje o </w:t>
      </w:r>
      <w:r w:rsidRPr="00173D2A">
        <w:rPr>
          <w:rFonts w:asciiTheme="majorBidi" w:hAnsiTheme="majorBidi" w:cstheme="majorBidi"/>
          <w:b/>
          <w:bCs/>
        </w:rPr>
        <w:t>kriminalite</w:t>
      </w:r>
      <w:r w:rsidRPr="00173D2A">
        <w:rPr>
          <w:rFonts w:asciiTheme="majorBidi" w:hAnsiTheme="majorBidi" w:cstheme="majorBidi"/>
        </w:rPr>
        <w:t xml:space="preserve"> sa získavajú z Evidenčno-štatistického systému kriminality vedeného Pol</w:t>
      </w:r>
      <w:r w:rsidRPr="00173D2A">
        <w:rPr>
          <w:rFonts w:asciiTheme="majorBidi" w:hAnsiTheme="majorBidi" w:cstheme="majorBidi"/>
        </w:rPr>
        <w:t>i</w:t>
      </w:r>
      <w:r w:rsidRPr="00173D2A">
        <w:rPr>
          <w:rFonts w:asciiTheme="majorBidi" w:hAnsiTheme="majorBidi" w:cstheme="majorBidi"/>
        </w:rPr>
        <w:t>cajným zborom SR. V tomto systéme sa sústreďujú údaje o trestných činoch a údaje o známych páchateľoch (vyšetrovaných osobách). Údaje o kriminalite zahŕňajú dokonané trestné činy aj pokusy trestných činov.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>Pre úplnosť štatistík sú v tabuľkách zahrnuté aj údaje evidované Železničnou políciou, Voje</w:t>
      </w:r>
      <w:r w:rsidRPr="00173D2A">
        <w:rPr>
          <w:rFonts w:asciiTheme="majorBidi" w:hAnsiTheme="majorBidi" w:cstheme="majorBidi"/>
        </w:rPr>
        <w:t>n</w:t>
      </w:r>
      <w:r w:rsidRPr="00173D2A">
        <w:rPr>
          <w:rFonts w:asciiTheme="majorBidi" w:hAnsiTheme="majorBidi" w:cstheme="majorBidi"/>
        </w:rPr>
        <w:t xml:space="preserve">skou políciou, Zborom väzenskej a justičnej stráže a Colným riaditeľstvom. 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>Údaje o pohybe agendy a výsledkoch konania na súdoch sú preberané z rezortu Ministerstva spravodlivosti SR.</w:t>
      </w:r>
    </w:p>
    <w:p w:rsidR="00081A3D" w:rsidRPr="00173D2A" w:rsidRDefault="00081A3D">
      <w:pPr>
        <w:pStyle w:val="podnadpis"/>
        <w:rPr>
          <w:rFonts w:asciiTheme="majorBidi" w:hAnsiTheme="majorBidi" w:cstheme="majorBidi"/>
          <w:lang w:val="sk-SK"/>
        </w:rPr>
      </w:pPr>
      <w:r w:rsidRPr="00173D2A">
        <w:rPr>
          <w:rFonts w:asciiTheme="majorBidi" w:hAnsiTheme="majorBidi" w:cstheme="majorBidi"/>
          <w:lang w:val="sk-SK"/>
        </w:rPr>
        <w:t>Definície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Trestný čin</w:t>
      </w:r>
      <w:r w:rsidRPr="00173D2A">
        <w:rPr>
          <w:rFonts w:asciiTheme="majorBidi" w:hAnsiTheme="majorBidi" w:cstheme="majorBidi"/>
        </w:rPr>
        <w:t xml:space="preserve"> je protiprávny čin, ktorého znaky sú uvedené v Trestnom zákone.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 xml:space="preserve">Vražda </w:t>
      </w:r>
      <w:r w:rsidRPr="00173D2A">
        <w:rPr>
          <w:rFonts w:asciiTheme="majorBidi" w:hAnsiTheme="majorBidi" w:cstheme="majorBidi"/>
        </w:rPr>
        <w:t>je trestný čin, pri ktorom páchateľ úmyselne usmrtí inú osobu.</w:t>
      </w:r>
    </w:p>
    <w:p w:rsidR="005F4BFF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 xml:space="preserve">Lúpež </w:t>
      </w:r>
      <w:r w:rsidRPr="00173D2A">
        <w:rPr>
          <w:rFonts w:asciiTheme="majorBidi" w:hAnsiTheme="majorBidi" w:cstheme="majorBidi"/>
        </w:rPr>
        <w:t>je trestný čin, pri ktorom páchateľ v úmysle zmocniť sa cudzej veci použije násilie alebo hrozbu bezprostredného násilia.</w:t>
      </w:r>
    </w:p>
    <w:p w:rsidR="005F4BFF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Úmyselné ublíženie na zdraví</w:t>
      </w:r>
      <w:r w:rsidRPr="00173D2A">
        <w:rPr>
          <w:rFonts w:asciiTheme="majorBidi" w:hAnsiTheme="majorBidi" w:cstheme="majorBidi"/>
        </w:rPr>
        <w:t xml:space="preserve"> je trestný čin, pri ktorom páchateľ úmyselne ublíži inej osobe na zdraví s následnou dobou liečenia alebo práceneschopnosti v trvaní viac ako 7 kalendárnych dní.</w:t>
      </w:r>
    </w:p>
    <w:p w:rsidR="005F4BFF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Znásilnenie</w:t>
      </w:r>
      <w:r w:rsidRPr="00173D2A">
        <w:rPr>
          <w:rFonts w:asciiTheme="majorBidi" w:hAnsiTheme="majorBidi" w:cstheme="majorBidi"/>
        </w:rPr>
        <w:t xml:space="preserve"> je trestný čin, pri ktorom páchateľ násilím alebo hrozbou bezprostredného násilia donúti obeť (ženu) k súloži alebo na taký čin zneužije jej bezbrannosť.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Krádež vlámaním</w:t>
      </w:r>
      <w:r w:rsidRPr="00173D2A">
        <w:rPr>
          <w:rFonts w:asciiTheme="majorBidi" w:hAnsiTheme="majorBidi" w:cstheme="majorBidi"/>
        </w:rPr>
        <w:t xml:space="preserve"> je trestný čin, pri ktorom si páchateľ prisvojí cudziu vec tým, že sa jej zmo</w:t>
      </w:r>
      <w:r w:rsidRPr="00173D2A">
        <w:rPr>
          <w:rFonts w:asciiTheme="majorBidi" w:hAnsiTheme="majorBidi" w:cstheme="majorBidi"/>
        </w:rPr>
        <w:t>c</w:t>
      </w:r>
      <w:r w:rsidRPr="00173D2A">
        <w:rPr>
          <w:rFonts w:asciiTheme="majorBidi" w:hAnsiTheme="majorBidi" w:cstheme="majorBidi"/>
        </w:rPr>
        <w:t>ní pri vniknutí do uzavretého priestoru nedovoleným prekonaním uzamknutia alebo prekonaním inej zabezpečovacej prekážky použitím sily alebo ľsťou.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Krádeže motorových vozidiel</w:t>
      </w:r>
      <w:r w:rsidRPr="00173D2A">
        <w:rPr>
          <w:rFonts w:asciiTheme="majorBidi" w:hAnsiTheme="majorBidi" w:cstheme="majorBidi"/>
        </w:rPr>
        <w:t xml:space="preserve"> predstavujú krádeže dvojstopových a jednostopových motorových vozidiel.</w:t>
      </w:r>
    </w:p>
    <w:p w:rsidR="005F4BFF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 xml:space="preserve">Páchatelia trestných činov </w:t>
      </w:r>
      <w:r w:rsidRPr="00173D2A">
        <w:rPr>
          <w:rFonts w:asciiTheme="majorBidi" w:hAnsiTheme="majorBidi" w:cstheme="majorBidi"/>
        </w:rPr>
        <w:t>sú osoby, ktoré boli stíhané a vyšetrované políciou. Štatistické údaje o páchateľoch sú agregované informácie, ktoré sa pri policajnom vyšetrovaní podarilo o páchateľoch zistiť a zaevidovať.</w:t>
      </w:r>
    </w:p>
    <w:p w:rsidR="00081A3D" w:rsidRPr="00173D2A" w:rsidRDefault="00081A3D">
      <w:pPr>
        <w:pStyle w:val="Zkladntext"/>
        <w:rPr>
          <w:rFonts w:asciiTheme="majorBidi" w:hAnsiTheme="majorBidi" w:cstheme="majorBidi"/>
          <w:spacing w:val="-4"/>
        </w:rPr>
      </w:pPr>
      <w:r w:rsidRPr="00173D2A">
        <w:rPr>
          <w:rFonts w:asciiTheme="majorBidi" w:hAnsiTheme="majorBidi" w:cstheme="majorBidi"/>
          <w:b/>
          <w:bCs/>
          <w:spacing w:val="-4"/>
        </w:rPr>
        <w:t>Recidivista</w:t>
      </w:r>
      <w:r w:rsidRPr="00173D2A">
        <w:rPr>
          <w:rFonts w:asciiTheme="majorBidi" w:hAnsiTheme="majorBidi" w:cstheme="majorBidi"/>
          <w:spacing w:val="-4"/>
        </w:rPr>
        <w:t xml:space="preserve"> je osoba, ktorá sa opakovane dopus</w:t>
      </w:r>
      <w:r w:rsidRPr="00173D2A">
        <w:rPr>
          <w:rFonts w:asciiTheme="majorBidi" w:hAnsiTheme="majorBidi" w:cstheme="majorBidi"/>
        </w:rPr>
        <w:t>tila spáchania trestného činu rovnakej po­vahy.</w:t>
      </w:r>
    </w:p>
    <w:p w:rsidR="005F4BFF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>Z hľadiska štatistík súdnictva je</w:t>
      </w:r>
      <w:r w:rsidRPr="00173D2A">
        <w:rPr>
          <w:rFonts w:asciiTheme="majorBidi" w:hAnsiTheme="majorBidi" w:cstheme="majorBidi"/>
          <w:b/>
          <w:bCs/>
        </w:rPr>
        <w:t xml:space="preserve"> recidivista </w:t>
      </w:r>
      <w:r w:rsidRPr="00173D2A">
        <w:rPr>
          <w:rFonts w:asciiTheme="majorBidi" w:hAnsiTheme="majorBidi" w:cstheme="majorBidi"/>
        </w:rPr>
        <w:t>osoba, u ktorej súd pri ukladaní trestu prihliadal na predchádzajúce odsúdenie ako na priťažujúcu okolnosť.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 xml:space="preserve">Kategóriu </w:t>
      </w:r>
      <w:r w:rsidRPr="00173D2A">
        <w:rPr>
          <w:rFonts w:asciiTheme="majorBidi" w:hAnsiTheme="majorBidi" w:cstheme="majorBidi"/>
          <w:b/>
          <w:bCs/>
        </w:rPr>
        <w:t>detí a mladistvých</w:t>
      </w:r>
      <w:r w:rsidRPr="00173D2A">
        <w:rPr>
          <w:rFonts w:asciiTheme="majorBidi" w:hAnsiTheme="majorBidi" w:cstheme="majorBidi"/>
        </w:rPr>
        <w:t xml:space="preserve"> tvoria osoby vo veku 0 až 18 rokov, pričom pojmom mladistvý označujeme osoby trestne zodpovedné, teda vo veku 14 rokov a staršie.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 xml:space="preserve">Medzi </w:t>
      </w:r>
      <w:r w:rsidRPr="00173D2A">
        <w:rPr>
          <w:rFonts w:asciiTheme="majorBidi" w:hAnsiTheme="majorBidi" w:cstheme="majorBidi"/>
          <w:b/>
          <w:bCs/>
        </w:rPr>
        <w:t>majetkové trestné činy</w:t>
      </w:r>
      <w:r w:rsidRPr="00173D2A">
        <w:rPr>
          <w:rFonts w:asciiTheme="majorBidi" w:hAnsiTheme="majorBidi" w:cstheme="majorBidi"/>
        </w:rPr>
        <w:t xml:space="preserve"> zaraďujeme krádeže (na osobách, vlámaním, motorových voz</w:t>
      </w:r>
      <w:r w:rsidRPr="00173D2A">
        <w:rPr>
          <w:rFonts w:asciiTheme="majorBidi" w:hAnsiTheme="majorBidi" w:cstheme="majorBidi"/>
        </w:rPr>
        <w:t>i</w:t>
      </w:r>
      <w:r w:rsidRPr="00173D2A">
        <w:rPr>
          <w:rFonts w:asciiTheme="majorBidi" w:hAnsiTheme="majorBidi" w:cstheme="majorBidi"/>
        </w:rPr>
        <w:t>diel a pod.), ale aj poškodzovanie majetku.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 xml:space="preserve">Pod pojem </w:t>
      </w:r>
      <w:r w:rsidRPr="00173D2A">
        <w:rPr>
          <w:rFonts w:asciiTheme="majorBidi" w:hAnsiTheme="majorBidi" w:cstheme="majorBidi"/>
          <w:b/>
          <w:bCs/>
        </w:rPr>
        <w:t>násilná kriminalita</w:t>
      </w:r>
      <w:r w:rsidRPr="00173D2A">
        <w:rPr>
          <w:rFonts w:asciiTheme="majorBidi" w:hAnsiTheme="majorBidi" w:cstheme="majorBidi"/>
        </w:rPr>
        <w:t xml:space="preserve"> sa zaraďujú násilné trestné činy ako vražda, lúpež, úmyselné ublíženie na zdraví, nebezpečné vyhrážanie, únos, hrubý nátlak, týranie a pod.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Mravnostnú kriminalitu</w:t>
      </w:r>
      <w:r w:rsidRPr="00173D2A">
        <w:rPr>
          <w:rFonts w:asciiTheme="majorBidi" w:hAnsiTheme="majorBidi" w:cstheme="majorBidi"/>
        </w:rPr>
        <w:t xml:space="preserve"> reprezentujú najmä trestné činy ako znásilnenie, sexuálne zneužívanie, detská pornografia alebo kupliarstvo.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 xml:space="preserve">Medzi </w:t>
      </w:r>
      <w:r w:rsidRPr="00173D2A">
        <w:rPr>
          <w:rFonts w:asciiTheme="majorBidi" w:hAnsiTheme="majorBidi" w:cstheme="majorBidi"/>
          <w:b/>
          <w:bCs/>
        </w:rPr>
        <w:t>ostatné trestné činy</w:t>
      </w:r>
      <w:r w:rsidRPr="00173D2A">
        <w:rPr>
          <w:rFonts w:asciiTheme="majorBidi" w:hAnsiTheme="majorBidi" w:cstheme="majorBidi"/>
        </w:rPr>
        <w:t xml:space="preserve"> patrí napríklad výtržníctvo, nedovolená výroba omamných a psychotropných látok, ale aj marenie výkonu úradného rozhodnutia.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Ekonomická kriminalita</w:t>
      </w:r>
      <w:r w:rsidRPr="00173D2A">
        <w:rPr>
          <w:rFonts w:asciiTheme="majorBidi" w:hAnsiTheme="majorBidi" w:cstheme="majorBidi"/>
        </w:rPr>
        <w:t xml:space="preserve"> je špecifický druh kriminality, ktorý spôsobuje ekonomické škody </w:t>
      </w:r>
      <w:r w:rsidRPr="00173D2A">
        <w:rPr>
          <w:rFonts w:asciiTheme="majorBidi" w:hAnsiTheme="majorBidi" w:cstheme="majorBidi"/>
        </w:rPr>
        <w:lastRenderedPageBreak/>
        <w:t>štátu, právnickým a fyzickým osobám. Medzi ekonomické trestné činy patrí napríklad sprenev</w:t>
      </w:r>
      <w:r w:rsidRPr="00173D2A">
        <w:rPr>
          <w:rFonts w:asciiTheme="majorBidi" w:hAnsiTheme="majorBidi" w:cstheme="majorBidi"/>
        </w:rPr>
        <w:t>e</w:t>
      </w:r>
      <w:r w:rsidRPr="00173D2A">
        <w:rPr>
          <w:rFonts w:asciiTheme="majorBidi" w:hAnsiTheme="majorBidi" w:cstheme="majorBidi"/>
        </w:rPr>
        <w:t>ra, podvod, neoprávnené obstaranie platobnej karty, poškodzovanie spotrebiteľa, prijímanie úplatku, ale aj trestné činy ako ohrozenie životného prostredia alebo pytliactvo.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 xml:space="preserve">Pod pojmom </w:t>
      </w:r>
      <w:r w:rsidRPr="00173D2A">
        <w:rPr>
          <w:rFonts w:asciiTheme="majorBidi" w:hAnsiTheme="majorBidi" w:cstheme="majorBidi"/>
          <w:b/>
          <w:bCs/>
        </w:rPr>
        <w:t>zostávajúce trestné činy</w:t>
      </w:r>
      <w:r w:rsidRPr="00173D2A">
        <w:rPr>
          <w:rFonts w:asciiTheme="majorBidi" w:hAnsiTheme="majorBidi" w:cstheme="majorBidi"/>
        </w:rPr>
        <w:t xml:space="preserve"> rozumieme napríklad zanedbanie povinnej výživy, ubl</w:t>
      </w:r>
      <w:r w:rsidRPr="00173D2A">
        <w:rPr>
          <w:rFonts w:asciiTheme="majorBidi" w:hAnsiTheme="majorBidi" w:cstheme="majorBidi"/>
        </w:rPr>
        <w:t>í</w:t>
      </w:r>
      <w:r w:rsidRPr="00173D2A">
        <w:rPr>
          <w:rFonts w:asciiTheme="majorBidi" w:hAnsiTheme="majorBidi" w:cstheme="majorBidi"/>
        </w:rPr>
        <w:t>ženie na zdraví z nedbanlivosti, dopravné nehody, týranie zvierat a pod.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Vojenské trestné činy</w:t>
      </w:r>
      <w:r w:rsidRPr="00173D2A">
        <w:rPr>
          <w:rFonts w:asciiTheme="majorBidi" w:hAnsiTheme="majorBidi" w:cstheme="majorBidi"/>
        </w:rPr>
        <w:t xml:space="preserve"> zahŕňajú napríklad vyhýbanie sa služobnému úkonu či neuposlúchnutie rozkazu, ale aj trestné činy proti mieru, bezpečnosti a republike.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 xml:space="preserve">Ako </w:t>
      </w:r>
      <w:r w:rsidRPr="00173D2A">
        <w:rPr>
          <w:rFonts w:asciiTheme="majorBidi" w:hAnsiTheme="majorBidi" w:cstheme="majorBidi"/>
          <w:b/>
          <w:bCs/>
        </w:rPr>
        <w:t>veci</w:t>
      </w:r>
      <w:r w:rsidRPr="00173D2A">
        <w:rPr>
          <w:rFonts w:asciiTheme="majorBidi" w:hAnsiTheme="majorBidi" w:cstheme="majorBidi"/>
        </w:rPr>
        <w:t xml:space="preserve"> sa označujú prípady zapísané v príslušnom registri a prejednávané súdom. Jedna vec sa môže týkať aj viacerých osôb.</w:t>
      </w:r>
    </w:p>
    <w:p w:rsidR="005F4BFF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Trestné veci</w:t>
      </w:r>
      <w:r w:rsidRPr="00173D2A">
        <w:rPr>
          <w:rFonts w:asciiTheme="majorBidi" w:hAnsiTheme="majorBidi" w:cstheme="majorBidi"/>
        </w:rPr>
        <w:t xml:space="preserve"> sú veci prerokovávané súdmi na základe obžaloby postúpenej prokuratúrou, v ktorých sa rozhoduje o vine, treste, ochranných opatreniach a náhrade škody spôsobenej trestnou činnosťou.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Nápad</w:t>
      </w:r>
      <w:r w:rsidRPr="00173D2A">
        <w:rPr>
          <w:rFonts w:asciiTheme="majorBidi" w:hAnsiTheme="majorBidi" w:cstheme="majorBidi"/>
        </w:rPr>
        <w:t xml:space="preserve"> je celkový počet trestných vecí došlých na súdy v priebehu kalendárneho roka, prípadne vecí opäť zapísaných do príslušného registra v dôsledku opravných prostriedkov. V občianskoprávnej agende a v agende starostlivosti o maloleté deti je to počet návrhov, ktoré boli doporučené súdu na prejednanie a súd ich zapísal do príslušného registra.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 xml:space="preserve">Podstatnú časť </w:t>
      </w:r>
      <w:r w:rsidRPr="00173D2A">
        <w:rPr>
          <w:rFonts w:asciiTheme="majorBidi" w:hAnsiTheme="majorBidi" w:cstheme="majorBidi"/>
          <w:b/>
          <w:bCs/>
        </w:rPr>
        <w:t>občianskoprávnej agendy</w:t>
      </w:r>
      <w:r w:rsidRPr="00173D2A">
        <w:rPr>
          <w:rFonts w:asciiTheme="majorBidi" w:hAnsiTheme="majorBidi" w:cstheme="majorBidi"/>
        </w:rPr>
        <w:t xml:space="preserve"> tvoria veci upravené občianskym zákonníkom, zák</w:t>
      </w:r>
      <w:r w:rsidRPr="00173D2A">
        <w:rPr>
          <w:rFonts w:asciiTheme="majorBidi" w:hAnsiTheme="majorBidi" w:cstheme="majorBidi"/>
        </w:rPr>
        <w:t>o</w:t>
      </w:r>
      <w:r w:rsidRPr="00173D2A">
        <w:rPr>
          <w:rFonts w:asciiTheme="majorBidi" w:hAnsiTheme="majorBidi" w:cstheme="majorBidi"/>
        </w:rPr>
        <w:t>nom o rodine, zákonom o pôde a zákonníkom práce.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 xml:space="preserve">Pojmom </w:t>
      </w:r>
      <w:r w:rsidRPr="00173D2A">
        <w:rPr>
          <w:rFonts w:asciiTheme="majorBidi" w:hAnsiTheme="majorBidi" w:cstheme="majorBidi"/>
          <w:b/>
          <w:bCs/>
        </w:rPr>
        <w:t>vybavené</w:t>
      </w:r>
      <w:r w:rsidRPr="00173D2A">
        <w:rPr>
          <w:rFonts w:asciiTheme="majorBidi" w:hAnsiTheme="majorBidi" w:cstheme="majorBidi"/>
        </w:rPr>
        <w:t xml:space="preserve"> sa rozumie celkový počet vecí skončených v priebehu kalendárneho roka právoplatným rozhodnutím o odsúdení, oslobodení, zastavení trestného stíhania alebo postúpení inému orgánu.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Nevybavené</w:t>
      </w:r>
      <w:r w:rsidRPr="00173D2A">
        <w:rPr>
          <w:rFonts w:asciiTheme="majorBidi" w:hAnsiTheme="majorBidi" w:cstheme="majorBidi"/>
        </w:rPr>
        <w:t xml:space="preserve"> sú veci, ktoré neboli v kalendárnom roku z akýchkoľvek dôvodov právoplatne skončené. Tento údaj sa vzťahuje vždy k termínu 31. 12. príslušného roka.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Obvinená osoba</w:t>
      </w:r>
      <w:r w:rsidRPr="00173D2A">
        <w:rPr>
          <w:rFonts w:asciiTheme="majorBidi" w:hAnsiTheme="majorBidi" w:cstheme="majorBidi"/>
        </w:rPr>
        <w:t xml:space="preserve"> je osoba obvinená zo spáchania konkrétneho trestného činu, ak bolo proti nej vznesené obvinenie orgánmi činnými v trestnom konaní. Na návrh prokurátora môže byť vydaný písomný príkaz sudcu o zaistení obvineného do </w:t>
      </w:r>
      <w:r w:rsidRPr="00173D2A">
        <w:rPr>
          <w:rFonts w:asciiTheme="majorBidi" w:hAnsiTheme="majorBidi" w:cstheme="majorBidi"/>
          <w:b/>
          <w:bCs/>
        </w:rPr>
        <w:t>väzby</w:t>
      </w:r>
      <w:r w:rsidRPr="00173D2A">
        <w:rPr>
          <w:rFonts w:asciiTheme="majorBidi" w:hAnsiTheme="majorBidi" w:cstheme="majorBidi"/>
        </w:rPr>
        <w:t xml:space="preserve"> na účely trestného konania. Celková doba trvania väzby v prípravnom konaní a v konaní pred súdom nesmie presiahnuť konkrétnu lehotu, ktorá závisí od závažnosti trestného činu.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Obžalovaná osoba</w:t>
      </w:r>
      <w:r w:rsidRPr="00173D2A">
        <w:rPr>
          <w:rFonts w:asciiTheme="majorBidi" w:hAnsiTheme="majorBidi" w:cstheme="majorBidi"/>
        </w:rPr>
        <w:t xml:space="preserve"> je osoba, na ktorú bola podaná obžaloba prokurátorom.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Odsúdená osoba</w:t>
      </w:r>
      <w:r w:rsidRPr="00173D2A">
        <w:rPr>
          <w:rFonts w:asciiTheme="majorBidi" w:hAnsiTheme="majorBidi" w:cstheme="majorBidi"/>
        </w:rPr>
        <w:t xml:space="preserve"> je osoba, proti ktorej bol súdom vydaný odsudzujúci rozsudok, ktorý už n</w:t>
      </w:r>
      <w:r w:rsidRPr="00173D2A">
        <w:rPr>
          <w:rFonts w:asciiTheme="majorBidi" w:hAnsiTheme="majorBidi" w:cstheme="majorBidi"/>
        </w:rPr>
        <w:t>a</w:t>
      </w:r>
      <w:r w:rsidRPr="00173D2A">
        <w:rPr>
          <w:rFonts w:asciiTheme="majorBidi" w:hAnsiTheme="majorBidi" w:cstheme="majorBidi"/>
        </w:rPr>
        <w:t>dobudol právoplatnosť.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Nepodmienečný trest</w:t>
      </w:r>
      <w:r w:rsidRPr="00173D2A">
        <w:rPr>
          <w:rFonts w:asciiTheme="majorBidi" w:hAnsiTheme="majorBidi" w:cstheme="majorBidi"/>
        </w:rPr>
        <w:t xml:space="preserve"> odňatia slobody je trest odňatia slobody vykonávaný v ústavoch na výkon trestu odňatia slobody Ministerstva spravodlivosti SR.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Podmienečný trest</w:t>
      </w:r>
      <w:r w:rsidRPr="00173D2A">
        <w:rPr>
          <w:rFonts w:asciiTheme="majorBidi" w:hAnsiTheme="majorBidi" w:cstheme="majorBidi"/>
        </w:rPr>
        <w:t xml:space="preserve"> je trest odňatia slobody, ktorého vykonanie je podmienečne odložené na skúšobnú dobu, ktorá môže trvať až päť rokov. Podmienečne možno odložiť výkon trestu odňatia slobody, ktorý nepresahuje dva roky.</w:t>
      </w:r>
    </w:p>
    <w:p w:rsidR="005F4BFF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  <w:b/>
          <w:bCs/>
        </w:rPr>
        <w:t>Zákaz činnosti</w:t>
      </w:r>
      <w:r w:rsidRPr="00173D2A">
        <w:rPr>
          <w:rFonts w:asciiTheme="majorBidi" w:hAnsiTheme="majorBidi" w:cstheme="majorBidi"/>
        </w:rPr>
        <w:t xml:space="preserve"> je trest, ktorý spočíva v zákaze výkonu určitého zamestnania, povolania, fun</w:t>
      </w:r>
      <w:r w:rsidRPr="00173D2A">
        <w:rPr>
          <w:rFonts w:asciiTheme="majorBidi" w:hAnsiTheme="majorBidi" w:cstheme="majorBidi"/>
        </w:rPr>
        <w:t>k</w:t>
      </w:r>
      <w:r w:rsidRPr="00173D2A">
        <w:rPr>
          <w:rFonts w:asciiTheme="majorBidi" w:hAnsiTheme="majorBidi" w:cstheme="majorBidi"/>
        </w:rPr>
        <w:t>cie alebo činnosti. Dĺžka trestu je 1 až 10 rokov.</w:t>
      </w:r>
    </w:p>
    <w:p w:rsidR="005F4BFF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 xml:space="preserve">Odsúdeným na nepodmienečný trest odňatia slobody súd v rozsudku stanovuje okrem výmery trestu aj </w:t>
      </w:r>
      <w:r w:rsidRPr="00173D2A">
        <w:rPr>
          <w:rFonts w:asciiTheme="majorBidi" w:hAnsiTheme="majorBidi" w:cstheme="majorBidi"/>
          <w:b/>
          <w:bCs/>
        </w:rPr>
        <w:t>stupeň stráženia</w:t>
      </w:r>
      <w:r w:rsidRPr="00173D2A">
        <w:rPr>
          <w:rFonts w:asciiTheme="majorBidi" w:hAnsiTheme="majorBidi" w:cstheme="majorBidi"/>
        </w:rPr>
        <w:t xml:space="preserve"> pre výkon trestu v rámci skupín I. – III. s prihliadnutím na závažnosť spáchaného trestného činu. Čím je vyšší stupeň stráženia, tým je menší rozsah práv odsúdených a väčší rozsah ich obmedzení.</w:t>
      </w:r>
    </w:p>
    <w:p w:rsidR="00081A3D" w:rsidRPr="00173D2A" w:rsidRDefault="00081A3D">
      <w:pPr>
        <w:pStyle w:val="podnadpis"/>
        <w:rPr>
          <w:rFonts w:asciiTheme="majorBidi" w:hAnsiTheme="majorBidi" w:cstheme="majorBidi"/>
          <w:lang w:val="sk-SK"/>
        </w:rPr>
      </w:pPr>
      <w:r w:rsidRPr="00173D2A">
        <w:rPr>
          <w:rFonts w:asciiTheme="majorBidi" w:hAnsiTheme="majorBidi" w:cstheme="majorBidi"/>
          <w:lang w:val="sk-SK"/>
        </w:rPr>
        <w:t>Zdroje</w:t>
      </w:r>
    </w:p>
    <w:p w:rsidR="00081A3D" w:rsidRPr="00173D2A" w:rsidRDefault="00081A3D">
      <w:pPr>
        <w:pStyle w:val="Zkladntext"/>
        <w:rPr>
          <w:rFonts w:asciiTheme="majorBidi" w:hAnsiTheme="majorBidi" w:cstheme="majorBidi"/>
        </w:rPr>
      </w:pPr>
      <w:r w:rsidRPr="00173D2A">
        <w:rPr>
          <w:rFonts w:asciiTheme="majorBidi" w:hAnsiTheme="majorBidi" w:cstheme="majorBidi"/>
        </w:rPr>
        <w:t>Zdrojom štatistických údajov o kriminalite sú administratívne údaje Ministerstva vnútra SR. Údaje o súdnictve a väzenstve sú čerpané z podkladov Ministerstva spravodlivosti SR.</w:t>
      </w:r>
      <w:bookmarkEnd w:id="0"/>
    </w:p>
    <w:sectPr w:rsidR="00081A3D" w:rsidRPr="00173D2A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BFF"/>
    <w:rsid w:val="00081A3D"/>
    <w:rsid w:val="00173D2A"/>
    <w:rsid w:val="005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FCFD09-5E1D-481B-83F9-19C1EA63C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2021-02-02T09:34:00Z</dcterms:created>
  <dcterms:modified xsi:type="dcterms:W3CDTF">2021-02-02T09:34:00Z</dcterms:modified>
</cp:coreProperties>
</file>