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39A" w:rsidRDefault="0083039A" w:rsidP="0083039A">
      <w:pPr>
        <w:pStyle w:val="Nadpis2"/>
        <w:spacing w:before="1"/>
        <w:ind w:left="198"/>
      </w:pPr>
      <w:r>
        <w:rPr>
          <w:color w:val="E26C09"/>
        </w:rPr>
        <w:t>Metodické vysvetlivky</w:t>
      </w:r>
    </w:p>
    <w:p w:rsidR="00710150" w:rsidRDefault="0083039A" w:rsidP="00710150">
      <w:pPr>
        <w:pStyle w:val="Zkladntext"/>
        <w:spacing w:before="81" w:line="276" w:lineRule="auto"/>
        <w:ind w:left="198"/>
        <w:jc w:val="both"/>
        <w:rPr>
          <w:sz w:val="24"/>
        </w:rPr>
      </w:pPr>
      <w:r w:rsidRPr="00710150">
        <w:rPr>
          <w:sz w:val="24"/>
        </w:rPr>
        <w:t xml:space="preserve">Údaje o zahraničnom sťahovaní sa zisťujú za všetkých obyvateľov, ktorí majú trvalý pobyt na území Slovenskej republiky bez ohľadu na štátne občianstvo. </w:t>
      </w:r>
    </w:p>
    <w:p w:rsidR="0083039A" w:rsidRPr="00710150" w:rsidRDefault="0083039A" w:rsidP="00710150">
      <w:pPr>
        <w:pStyle w:val="Zkladntext"/>
        <w:spacing w:before="81" w:line="276" w:lineRule="auto"/>
        <w:ind w:left="198"/>
        <w:jc w:val="both"/>
        <w:rPr>
          <w:sz w:val="24"/>
        </w:rPr>
      </w:pPr>
      <w:r w:rsidRPr="00710150">
        <w:rPr>
          <w:b/>
          <w:sz w:val="24"/>
        </w:rPr>
        <w:t xml:space="preserve">Štátne občianstvo </w:t>
      </w:r>
      <w:r w:rsidRPr="00710150">
        <w:rPr>
          <w:sz w:val="24"/>
        </w:rPr>
        <w:t>znamená individuálny prá</w:t>
      </w:r>
      <w:r w:rsidR="00710150">
        <w:rPr>
          <w:sz w:val="24"/>
        </w:rPr>
        <w:t>vny zväzok medzi jednotlivcom a </w:t>
      </w:r>
      <w:r w:rsidRPr="00710150">
        <w:rPr>
          <w:sz w:val="24"/>
        </w:rPr>
        <w:t>štátom, získaný narodením alebo udelením občianstva, deklaráciou, voľbou, sobášom alebo niektorým z iných prostriedkov podľa príslušnej národnej legislatívy.</w:t>
      </w:r>
    </w:p>
    <w:p w:rsidR="0083039A" w:rsidRPr="00710150" w:rsidRDefault="0083039A" w:rsidP="00710150">
      <w:pPr>
        <w:pStyle w:val="Zkladntext"/>
        <w:spacing w:line="276" w:lineRule="auto"/>
        <w:ind w:left="198"/>
        <w:jc w:val="both"/>
        <w:rPr>
          <w:sz w:val="24"/>
        </w:rPr>
      </w:pPr>
      <w:r w:rsidRPr="00710150">
        <w:rPr>
          <w:b/>
          <w:sz w:val="24"/>
        </w:rPr>
        <w:t xml:space="preserve">Občan Slovenskej republiky </w:t>
      </w:r>
      <w:r w:rsidRPr="00710150">
        <w:rPr>
          <w:sz w:val="24"/>
        </w:rPr>
        <w:t>znamená osobu, ktorá je štátnym občanom Slovenskej republiky, pričom u tejto osoby nerozhoduje faktický stav, ako napr. bydlisko, príslušnosť k určitej národnosti, rase, či náboženstvu.</w:t>
      </w:r>
    </w:p>
    <w:p w:rsidR="0083039A" w:rsidRPr="00710150" w:rsidRDefault="0083039A" w:rsidP="00710150">
      <w:pPr>
        <w:spacing w:line="276" w:lineRule="auto"/>
        <w:ind w:left="198"/>
        <w:jc w:val="both"/>
        <w:rPr>
          <w:rFonts w:ascii="Arial" w:hAnsi="Arial"/>
          <w:sz w:val="24"/>
        </w:rPr>
      </w:pPr>
      <w:r w:rsidRPr="00710150">
        <w:rPr>
          <w:rFonts w:ascii="Arial" w:hAnsi="Arial"/>
          <w:b/>
          <w:sz w:val="24"/>
        </w:rPr>
        <w:t xml:space="preserve">Občan Európskej únie </w:t>
      </w:r>
      <w:r w:rsidRPr="00710150">
        <w:rPr>
          <w:rFonts w:ascii="Arial" w:hAnsi="Arial"/>
          <w:sz w:val="24"/>
        </w:rPr>
        <w:t>znamená občana niektorého z členských štátov Európskej únie.</w:t>
      </w:r>
    </w:p>
    <w:p w:rsidR="0083039A" w:rsidRPr="00710150" w:rsidRDefault="0083039A" w:rsidP="00710150">
      <w:pPr>
        <w:pStyle w:val="Zkladntext"/>
        <w:spacing w:before="53" w:line="276" w:lineRule="auto"/>
        <w:ind w:left="198"/>
        <w:jc w:val="both"/>
        <w:rPr>
          <w:sz w:val="24"/>
        </w:rPr>
      </w:pPr>
      <w:r w:rsidRPr="00710150">
        <w:rPr>
          <w:b/>
          <w:sz w:val="24"/>
        </w:rPr>
        <w:t xml:space="preserve">Cudzinec </w:t>
      </w:r>
      <w:r w:rsidRPr="00710150">
        <w:rPr>
          <w:sz w:val="24"/>
        </w:rPr>
        <w:t>znamená osobu, ktorá nie je štátnym občanom SR alebo je osobou bez štátnej príslušnosti.</w:t>
      </w:r>
    </w:p>
    <w:p w:rsidR="0083039A" w:rsidRPr="00710150" w:rsidRDefault="0083039A" w:rsidP="00710150">
      <w:pPr>
        <w:spacing w:before="58" w:line="276" w:lineRule="auto"/>
        <w:ind w:left="198"/>
        <w:jc w:val="both"/>
        <w:rPr>
          <w:rFonts w:ascii="Arial" w:hAnsi="Arial"/>
          <w:sz w:val="24"/>
        </w:rPr>
      </w:pPr>
      <w:r w:rsidRPr="00710150">
        <w:rPr>
          <w:rFonts w:ascii="Arial" w:hAnsi="Arial"/>
          <w:b/>
          <w:sz w:val="24"/>
        </w:rPr>
        <w:t xml:space="preserve">Občan tretej krajiny </w:t>
      </w:r>
      <w:r w:rsidRPr="00710150">
        <w:rPr>
          <w:rFonts w:ascii="Arial" w:hAnsi="Arial"/>
          <w:sz w:val="24"/>
        </w:rPr>
        <w:t>znamená osobu, ktorá má občianstvo krajín mimo Európskej únie.</w:t>
      </w:r>
    </w:p>
    <w:p w:rsidR="0083039A" w:rsidRPr="00710150" w:rsidRDefault="0083039A" w:rsidP="00710150">
      <w:pPr>
        <w:pStyle w:val="Zkladntext"/>
        <w:spacing w:before="58" w:line="276" w:lineRule="auto"/>
        <w:ind w:left="198"/>
        <w:jc w:val="both"/>
        <w:rPr>
          <w:sz w:val="24"/>
        </w:rPr>
      </w:pPr>
      <w:r w:rsidRPr="00710150">
        <w:rPr>
          <w:b/>
          <w:sz w:val="24"/>
        </w:rPr>
        <w:t xml:space="preserve">Narodený/á v cudzine </w:t>
      </w:r>
      <w:r w:rsidRPr="00710150">
        <w:rPr>
          <w:sz w:val="24"/>
        </w:rPr>
        <w:t>je osoba, ktorej miesto narodenia, alebo pobytu matky v čase jeho/jej narodenia je mimo krajiny jeho/jej súčasného trvalého pobytu.</w:t>
      </w:r>
    </w:p>
    <w:p w:rsidR="0083039A" w:rsidRPr="00710150" w:rsidRDefault="0083039A" w:rsidP="00710150">
      <w:pPr>
        <w:pStyle w:val="Zkladntext"/>
        <w:spacing w:before="58" w:line="276" w:lineRule="auto"/>
        <w:ind w:left="198" w:right="139"/>
        <w:jc w:val="both"/>
        <w:rPr>
          <w:sz w:val="24"/>
        </w:rPr>
      </w:pPr>
      <w:r w:rsidRPr="00710150">
        <w:rPr>
          <w:b/>
          <w:sz w:val="24"/>
        </w:rPr>
        <w:t xml:space="preserve">Index ľudského  rozvoja (HDI)  </w:t>
      </w:r>
      <w:r w:rsidRPr="00710150">
        <w:rPr>
          <w:sz w:val="24"/>
        </w:rPr>
        <w:t xml:space="preserve">sa počíta ako zložený index  zahrňujúci v sebe  štatistické miery strednej dĺžky života, gramotnosti, dosiahnutého vzdelania  a hrubého domáceho produktu na obyvateľa (podrobnejšie na stránke OSN </w:t>
      </w:r>
      <w:hyperlink r:id="rId4">
        <w:r w:rsidRPr="00710150">
          <w:rPr>
            <w:color w:val="0000FF"/>
            <w:sz w:val="24"/>
            <w:u w:val="single" w:color="0000FF"/>
          </w:rPr>
          <w:t>http://hdr.undp.org/en/statistics</w:t>
        </w:r>
      </w:hyperlink>
      <w:r w:rsidRPr="00710150">
        <w:rPr>
          <w:sz w:val="24"/>
        </w:rPr>
        <w:t>). Krajiny sú podľa indexu ľudského rozvoja rozdelené do štyroch skupín: veľmi vysoko rozvinuté, vysoko rozvinuté, stredne rozvinuté a málo</w:t>
      </w:r>
      <w:r w:rsidRPr="00710150">
        <w:rPr>
          <w:spacing w:val="-9"/>
          <w:sz w:val="24"/>
        </w:rPr>
        <w:t xml:space="preserve"> </w:t>
      </w:r>
      <w:r w:rsidRPr="00710150">
        <w:rPr>
          <w:sz w:val="24"/>
        </w:rPr>
        <w:t>rozvinuté.</w:t>
      </w:r>
    </w:p>
    <w:p w:rsidR="0083039A" w:rsidRPr="00710150" w:rsidRDefault="0083039A" w:rsidP="00710150">
      <w:pPr>
        <w:pStyle w:val="Zkladntext"/>
        <w:spacing w:line="276" w:lineRule="auto"/>
        <w:ind w:left="198"/>
        <w:jc w:val="both"/>
        <w:rPr>
          <w:sz w:val="24"/>
        </w:rPr>
      </w:pPr>
      <w:r w:rsidRPr="00710150">
        <w:rPr>
          <w:b/>
          <w:sz w:val="24"/>
        </w:rPr>
        <w:t xml:space="preserve">Prisťahovaný </w:t>
      </w:r>
      <w:r w:rsidRPr="00710150">
        <w:rPr>
          <w:sz w:val="24"/>
        </w:rPr>
        <w:t>znamená osobu, ktorá si zriadila na území SR trvalý pobyt.</w:t>
      </w:r>
    </w:p>
    <w:p w:rsidR="0083039A" w:rsidRPr="00710150" w:rsidRDefault="0083039A" w:rsidP="00710150">
      <w:pPr>
        <w:pStyle w:val="Zkladntext"/>
        <w:spacing w:before="59" w:line="276" w:lineRule="auto"/>
        <w:ind w:left="198"/>
        <w:jc w:val="both"/>
        <w:rPr>
          <w:sz w:val="24"/>
        </w:rPr>
      </w:pPr>
      <w:r w:rsidRPr="00710150">
        <w:rPr>
          <w:b/>
          <w:sz w:val="24"/>
        </w:rPr>
        <w:t xml:space="preserve">Vysťahovaný </w:t>
      </w:r>
      <w:r w:rsidRPr="00710150">
        <w:rPr>
          <w:sz w:val="24"/>
        </w:rPr>
        <w:t>znamená osobu, ktorá sa odhlásila z trvalého pobytu na území SR.</w:t>
      </w:r>
    </w:p>
    <w:p w:rsidR="0083039A" w:rsidRPr="00710150" w:rsidRDefault="0083039A" w:rsidP="00710150">
      <w:pPr>
        <w:pStyle w:val="Zkladntext"/>
        <w:spacing w:before="58" w:line="276" w:lineRule="auto"/>
        <w:ind w:left="198" w:right="133"/>
        <w:jc w:val="both"/>
        <w:rPr>
          <w:sz w:val="24"/>
        </w:rPr>
      </w:pPr>
      <w:r w:rsidRPr="00710150">
        <w:rPr>
          <w:b/>
          <w:sz w:val="24"/>
        </w:rPr>
        <w:t>EÚ27</w:t>
      </w:r>
      <w:r w:rsidRPr="00710150">
        <w:rPr>
          <w:sz w:val="24"/>
        </w:rPr>
        <w:t>: Belgicko, Bulharsko, Česká republika, Dánsko, Nemecko, Estónsko, Írsko, Grécko, Španielsko, Francúzsko, Chorvátsko, Taliansko, Cyprus, Lotyšsko, Litva, Luxembursko, Maďarsko, Malta, Holandsko, Rakúsko, Poľsko, Portugalsko, Rumunsko, Slovinsko, Slovensko, Fínsko, Švédsko.</w:t>
      </w:r>
    </w:p>
    <w:p w:rsidR="0083039A" w:rsidRPr="00710150" w:rsidRDefault="0083039A" w:rsidP="00710150">
      <w:pPr>
        <w:spacing w:line="276" w:lineRule="auto"/>
        <w:ind w:left="198"/>
        <w:jc w:val="both"/>
        <w:rPr>
          <w:rFonts w:ascii="Arial" w:hAnsi="Arial"/>
          <w:sz w:val="24"/>
        </w:rPr>
      </w:pPr>
      <w:r w:rsidRPr="00710150">
        <w:rPr>
          <w:rFonts w:ascii="Arial" w:hAnsi="Arial"/>
          <w:b/>
          <w:sz w:val="24"/>
        </w:rPr>
        <w:t>Kandidátske krajiny EÚ</w:t>
      </w:r>
      <w:r w:rsidRPr="00710150">
        <w:rPr>
          <w:rFonts w:ascii="Arial" w:hAnsi="Arial"/>
          <w:sz w:val="24"/>
        </w:rPr>
        <w:t>: Albánsko, Čierna Hor</w:t>
      </w:r>
      <w:r w:rsidR="00710150">
        <w:rPr>
          <w:rFonts w:ascii="Arial" w:hAnsi="Arial"/>
          <w:sz w:val="24"/>
        </w:rPr>
        <w:t>a, Severné Macedónsko, Srbsko a </w:t>
      </w:r>
      <w:r w:rsidRPr="00710150">
        <w:rPr>
          <w:rFonts w:ascii="Arial" w:hAnsi="Arial"/>
          <w:sz w:val="24"/>
        </w:rPr>
        <w:t>Turecko.</w:t>
      </w:r>
    </w:p>
    <w:p w:rsidR="0083039A" w:rsidRPr="00710150" w:rsidRDefault="0083039A" w:rsidP="00710150">
      <w:pPr>
        <w:spacing w:before="58" w:line="276" w:lineRule="auto"/>
        <w:ind w:left="198"/>
        <w:jc w:val="both"/>
        <w:rPr>
          <w:rFonts w:ascii="Arial" w:hAnsi="Arial"/>
          <w:sz w:val="24"/>
        </w:rPr>
      </w:pPr>
      <w:r w:rsidRPr="00710150">
        <w:rPr>
          <w:rFonts w:ascii="Arial" w:hAnsi="Arial"/>
          <w:b/>
          <w:sz w:val="24"/>
        </w:rPr>
        <w:t xml:space="preserve">Európske združenie voľného obchodu: </w:t>
      </w:r>
      <w:r w:rsidRPr="00710150">
        <w:rPr>
          <w:rFonts w:ascii="Arial" w:hAnsi="Arial"/>
          <w:sz w:val="24"/>
        </w:rPr>
        <w:t>Island, Lichtenštajnsko, Nórsko, Švajčiarsko.</w:t>
      </w:r>
    </w:p>
    <w:p w:rsidR="0083039A" w:rsidRPr="00710150" w:rsidRDefault="0083039A" w:rsidP="00710150">
      <w:pPr>
        <w:spacing w:before="58" w:line="276" w:lineRule="auto"/>
        <w:ind w:left="198"/>
        <w:jc w:val="both"/>
        <w:rPr>
          <w:rFonts w:ascii="Arial" w:hAnsi="Arial"/>
          <w:sz w:val="24"/>
        </w:rPr>
      </w:pPr>
      <w:r w:rsidRPr="00710150">
        <w:rPr>
          <w:rFonts w:ascii="Arial" w:hAnsi="Arial"/>
          <w:b/>
          <w:sz w:val="24"/>
        </w:rPr>
        <w:t xml:space="preserve">Európsky hospodársky priestor </w:t>
      </w:r>
      <w:r w:rsidRPr="00710150">
        <w:rPr>
          <w:rFonts w:ascii="Arial" w:hAnsi="Arial"/>
          <w:sz w:val="24"/>
        </w:rPr>
        <w:t>združuje 27 čl</w:t>
      </w:r>
      <w:r w:rsidR="00710150">
        <w:rPr>
          <w:rFonts w:ascii="Arial" w:hAnsi="Arial"/>
          <w:sz w:val="24"/>
        </w:rPr>
        <w:t>enských štátov Európskej únie a </w:t>
      </w:r>
      <w:r w:rsidRPr="00710150">
        <w:rPr>
          <w:rFonts w:ascii="Arial" w:hAnsi="Arial"/>
          <w:sz w:val="24"/>
        </w:rPr>
        <w:t>členských štátov Európskeho združenia voľného obchodu, okrem Švajčiarska.</w:t>
      </w:r>
    </w:p>
    <w:p w:rsidR="0083039A" w:rsidRPr="00710150" w:rsidRDefault="0083039A" w:rsidP="00710150">
      <w:pPr>
        <w:pStyle w:val="Zkladntext"/>
        <w:spacing w:before="60" w:line="276" w:lineRule="auto"/>
        <w:ind w:left="198"/>
        <w:jc w:val="both"/>
        <w:rPr>
          <w:sz w:val="24"/>
        </w:rPr>
      </w:pPr>
      <w:r w:rsidRPr="00710150">
        <w:rPr>
          <w:b/>
          <w:sz w:val="24"/>
        </w:rPr>
        <w:t xml:space="preserve">Žiadateľ o azyl </w:t>
      </w:r>
      <w:r w:rsidRPr="00710150">
        <w:rPr>
          <w:sz w:val="24"/>
        </w:rPr>
        <w:t>je cudzinec, ktorý žiada v inej krajine o ochranu pred perzekúciou alebo nebezpečenstvom hroziacim v krajine pôvodu. V SR je to cudzinec, ktorý na útvare policajného zboru vyhlási, že žiada o udelenie azylu na území SR (Zákon č. 480/2002 Z. z. o azyle v znení neskorších predpisov).</w:t>
      </w:r>
    </w:p>
    <w:p w:rsidR="0083039A" w:rsidRPr="00710150" w:rsidRDefault="0083039A" w:rsidP="00710150">
      <w:pPr>
        <w:pStyle w:val="Zkladntext"/>
        <w:spacing w:before="58" w:line="276" w:lineRule="auto"/>
        <w:ind w:left="198" w:right="104"/>
        <w:jc w:val="both"/>
        <w:rPr>
          <w:sz w:val="24"/>
        </w:rPr>
      </w:pPr>
      <w:r w:rsidRPr="00710150">
        <w:rPr>
          <w:b/>
          <w:sz w:val="24"/>
        </w:rPr>
        <w:t xml:space="preserve">Azyl </w:t>
      </w:r>
      <w:r w:rsidRPr="00710150">
        <w:rPr>
          <w:sz w:val="24"/>
        </w:rPr>
        <w:t xml:space="preserve">predstavuje medzinárodnú ochranu cudzinca, ktorý v štáte, ktorého je štátnym občanom (alebo v štáte, v ktorom býva, ak ide o osobu bez štátneho občianstva), </w:t>
      </w:r>
      <w:r w:rsidRPr="00710150">
        <w:rPr>
          <w:sz w:val="24"/>
        </w:rPr>
        <w:lastRenderedPageBreak/>
        <w:t>má opodstatnené obavy z prenasledovania z rasových, náboženských alebo národnostných dôvodov, z dôvodov zastávania určitých politických názorov alebo príslušnosti  k  určitej sociálnej skupine, a vzhľadom  na tieto obavy sa nechce alebo nemôže vrátiť do tohto štátu. Azyl môže byť  udelený aj  z humanitných dôvodov, ako aj za účelom zlúčenia rodiny. Dohovor o právnom postavení utečencov (Ženeva 1951) Protokol týkajúci sa právneho postavenia utečencov</w:t>
      </w:r>
      <w:r w:rsidRPr="00710150">
        <w:rPr>
          <w:spacing w:val="-12"/>
          <w:sz w:val="24"/>
        </w:rPr>
        <w:t xml:space="preserve"> </w:t>
      </w:r>
      <w:r w:rsidRPr="00710150">
        <w:rPr>
          <w:sz w:val="24"/>
        </w:rPr>
        <w:t>(New</w:t>
      </w:r>
      <w:r w:rsidRPr="00710150">
        <w:rPr>
          <w:spacing w:val="-7"/>
          <w:sz w:val="24"/>
        </w:rPr>
        <w:t xml:space="preserve"> </w:t>
      </w:r>
      <w:r w:rsidRPr="00710150">
        <w:rPr>
          <w:sz w:val="24"/>
        </w:rPr>
        <w:t>York</w:t>
      </w:r>
      <w:r w:rsidRPr="00710150">
        <w:rPr>
          <w:spacing w:val="-6"/>
          <w:sz w:val="24"/>
        </w:rPr>
        <w:t xml:space="preserve"> </w:t>
      </w:r>
      <w:r w:rsidRPr="00710150">
        <w:rPr>
          <w:sz w:val="24"/>
        </w:rPr>
        <w:t>1967)</w:t>
      </w:r>
      <w:r w:rsidRPr="00710150">
        <w:rPr>
          <w:spacing w:val="-10"/>
          <w:sz w:val="24"/>
        </w:rPr>
        <w:t xml:space="preserve"> </w:t>
      </w:r>
      <w:r w:rsidRPr="00710150">
        <w:rPr>
          <w:sz w:val="24"/>
        </w:rPr>
        <w:t>V</w:t>
      </w:r>
      <w:r w:rsidRPr="00710150">
        <w:rPr>
          <w:spacing w:val="-11"/>
          <w:sz w:val="24"/>
        </w:rPr>
        <w:t xml:space="preserve"> </w:t>
      </w:r>
      <w:r w:rsidRPr="00710150">
        <w:rPr>
          <w:sz w:val="24"/>
        </w:rPr>
        <w:t>SR:</w:t>
      </w:r>
      <w:r w:rsidRPr="00710150">
        <w:rPr>
          <w:spacing w:val="-11"/>
          <w:sz w:val="24"/>
        </w:rPr>
        <w:t xml:space="preserve"> </w:t>
      </w:r>
      <w:r w:rsidRPr="00710150">
        <w:rPr>
          <w:sz w:val="24"/>
        </w:rPr>
        <w:t>Dohovor</w:t>
      </w:r>
      <w:r w:rsidRPr="00710150">
        <w:rPr>
          <w:spacing w:val="-10"/>
          <w:sz w:val="24"/>
        </w:rPr>
        <w:t xml:space="preserve"> </w:t>
      </w:r>
      <w:r w:rsidRPr="00710150">
        <w:rPr>
          <w:sz w:val="24"/>
        </w:rPr>
        <w:t>o</w:t>
      </w:r>
      <w:r w:rsidRPr="00710150">
        <w:rPr>
          <w:spacing w:val="-9"/>
          <w:sz w:val="24"/>
        </w:rPr>
        <w:t xml:space="preserve"> </w:t>
      </w:r>
      <w:r w:rsidRPr="00710150">
        <w:rPr>
          <w:sz w:val="24"/>
        </w:rPr>
        <w:t>právnom</w:t>
      </w:r>
      <w:r w:rsidRPr="00710150">
        <w:rPr>
          <w:spacing w:val="-6"/>
          <w:sz w:val="24"/>
        </w:rPr>
        <w:t xml:space="preserve"> </w:t>
      </w:r>
      <w:r w:rsidRPr="00710150">
        <w:rPr>
          <w:sz w:val="24"/>
        </w:rPr>
        <w:t>postavení</w:t>
      </w:r>
      <w:r w:rsidRPr="00710150">
        <w:rPr>
          <w:spacing w:val="-9"/>
          <w:sz w:val="24"/>
        </w:rPr>
        <w:t xml:space="preserve"> </w:t>
      </w:r>
      <w:r w:rsidRPr="00710150">
        <w:rPr>
          <w:sz w:val="24"/>
        </w:rPr>
        <w:t>utečencov</w:t>
      </w:r>
      <w:r w:rsidRPr="00710150">
        <w:rPr>
          <w:spacing w:val="-9"/>
          <w:sz w:val="24"/>
        </w:rPr>
        <w:t xml:space="preserve"> </w:t>
      </w:r>
      <w:r w:rsidRPr="00710150">
        <w:rPr>
          <w:sz w:val="24"/>
        </w:rPr>
        <w:t>č.</w:t>
      </w:r>
      <w:r w:rsidRPr="00710150">
        <w:rPr>
          <w:spacing w:val="-11"/>
          <w:sz w:val="24"/>
        </w:rPr>
        <w:t xml:space="preserve"> </w:t>
      </w:r>
      <w:r w:rsidRPr="00710150">
        <w:rPr>
          <w:sz w:val="24"/>
        </w:rPr>
        <w:t>319/1996</w:t>
      </w:r>
      <w:r w:rsidRPr="00710150">
        <w:rPr>
          <w:spacing w:val="-11"/>
          <w:sz w:val="24"/>
        </w:rPr>
        <w:t xml:space="preserve"> </w:t>
      </w:r>
      <w:r w:rsidRPr="00710150">
        <w:rPr>
          <w:sz w:val="24"/>
        </w:rPr>
        <w:t>Z.</w:t>
      </w:r>
      <w:r w:rsidRPr="00710150">
        <w:rPr>
          <w:spacing w:val="-9"/>
          <w:sz w:val="24"/>
        </w:rPr>
        <w:t xml:space="preserve"> </w:t>
      </w:r>
      <w:r w:rsidRPr="00710150">
        <w:rPr>
          <w:sz w:val="24"/>
        </w:rPr>
        <w:t>z.</w:t>
      </w:r>
      <w:r w:rsidRPr="00710150">
        <w:rPr>
          <w:spacing w:val="-10"/>
          <w:sz w:val="24"/>
        </w:rPr>
        <w:t xml:space="preserve"> </w:t>
      </w:r>
      <w:r w:rsidRPr="00710150">
        <w:rPr>
          <w:sz w:val="24"/>
        </w:rPr>
        <w:t>Čl.53</w:t>
      </w:r>
      <w:r w:rsidRPr="00710150">
        <w:rPr>
          <w:spacing w:val="-10"/>
          <w:sz w:val="24"/>
        </w:rPr>
        <w:t xml:space="preserve"> </w:t>
      </w:r>
      <w:r w:rsidRPr="00710150">
        <w:rPr>
          <w:sz w:val="24"/>
        </w:rPr>
        <w:t>Ústavy</w:t>
      </w:r>
      <w:r w:rsidRPr="00710150">
        <w:rPr>
          <w:spacing w:val="-11"/>
          <w:sz w:val="24"/>
        </w:rPr>
        <w:t xml:space="preserve"> </w:t>
      </w:r>
      <w:r w:rsidRPr="00710150">
        <w:rPr>
          <w:sz w:val="24"/>
        </w:rPr>
        <w:t>Slovenskej</w:t>
      </w:r>
      <w:r w:rsidRPr="00710150">
        <w:rPr>
          <w:spacing w:val="-10"/>
          <w:sz w:val="24"/>
        </w:rPr>
        <w:t xml:space="preserve"> </w:t>
      </w:r>
      <w:r w:rsidRPr="00710150">
        <w:rPr>
          <w:sz w:val="24"/>
        </w:rPr>
        <w:t>republiky</w:t>
      </w:r>
      <w:r w:rsidRPr="00710150">
        <w:rPr>
          <w:spacing w:val="-16"/>
          <w:sz w:val="24"/>
        </w:rPr>
        <w:t xml:space="preserve"> </w:t>
      </w:r>
      <w:r w:rsidRPr="00710150">
        <w:rPr>
          <w:sz w:val="24"/>
        </w:rPr>
        <w:t>Zákon</w:t>
      </w:r>
      <w:r w:rsidRPr="00710150">
        <w:rPr>
          <w:spacing w:val="-11"/>
          <w:sz w:val="24"/>
        </w:rPr>
        <w:t xml:space="preserve"> </w:t>
      </w:r>
      <w:r w:rsidRPr="00710150">
        <w:rPr>
          <w:sz w:val="24"/>
        </w:rPr>
        <w:t>č.</w:t>
      </w:r>
      <w:r w:rsidRPr="00710150">
        <w:rPr>
          <w:spacing w:val="-1"/>
          <w:sz w:val="24"/>
        </w:rPr>
        <w:t xml:space="preserve"> </w:t>
      </w:r>
      <w:r w:rsidRPr="00710150">
        <w:rPr>
          <w:sz w:val="24"/>
        </w:rPr>
        <w:t>480/2002</w:t>
      </w:r>
      <w:r w:rsidRPr="00710150">
        <w:rPr>
          <w:spacing w:val="-11"/>
          <w:sz w:val="24"/>
        </w:rPr>
        <w:t xml:space="preserve"> </w:t>
      </w:r>
      <w:r w:rsidRPr="00710150">
        <w:rPr>
          <w:sz w:val="24"/>
        </w:rPr>
        <w:t>Z.</w:t>
      </w:r>
      <w:r w:rsidRPr="00710150">
        <w:rPr>
          <w:spacing w:val="-8"/>
          <w:sz w:val="24"/>
        </w:rPr>
        <w:t xml:space="preserve"> </w:t>
      </w:r>
      <w:r w:rsidRPr="00710150">
        <w:rPr>
          <w:sz w:val="24"/>
        </w:rPr>
        <w:t>z.</w:t>
      </w:r>
      <w:r w:rsidRPr="00710150">
        <w:rPr>
          <w:spacing w:val="-11"/>
          <w:sz w:val="24"/>
        </w:rPr>
        <w:t xml:space="preserve"> </w:t>
      </w:r>
      <w:r w:rsidRPr="00710150">
        <w:rPr>
          <w:sz w:val="24"/>
        </w:rPr>
        <w:t>o</w:t>
      </w:r>
      <w:r w:rsidRPr="00710150">
        <w:rPr>
          <w:spacing w:val="-8"/>
          <w:sz w:val="24"/>
        </w:rPr>
        <w:t xml:space="preserve"> </w:t>
      </w:r>
      <w:r w:rsidRPr="00710150">
        <w:rPr>
          <w:sz w:val="24"/>
        </w:rPr>
        <w:t>azyle v znení neskorších</w:t>
      </w:r>
      <w:r w:rsidRPr="00710150">
        <w:rPr>
          <w:spacing w:val="-4"/>
          <w:sz w:val="24"/>
        </w:rPr>
        <w:t xml:space="preserve"> </w:t>
      </w:r>
      <w:r w:rsidRPr="00710150">
        <w:rPr>
          <w:sz w:val="24"/>
        </w:rPr>
        <w:t>predpisov.</w:t>
      </w:r>
    </w:p>
    <w:p w:rsidR="0083039A" w:rsidRPr="00710150" w:rsidRDefault="0083039A" w:rsidP="0083039A">
      <w:pPr>
        <w:pStyle w:val="Zkladntext"/>
        <w:spacing w:before="61"/>
        <w:ind w:left="198"/>
        <w:jc w:val="both"/>
        <w:rPr>
          <w:sz w:val="24"/>
        </w:rPr>
      </w:pPr>
      <w:r w:rsidRPr="00710150">
        <w:rPr>
          <w:b/>
          <w:sz w:val="24"/>
        </w:rPr>
        <w:t xml:space="preserve">Azylant </w:t>
      </w:r>
      <w:r w:rsidRPr="00710150">
        <w:rPr>
          <w:sz w:val="24"/>
        </w:rPr>
        <w:t>je cudzinec, ktorému bol udelený azyl. V tomto prípade má na území SR trvalý pobyt.</w:t>
      </w:r>
    </w:p>
    <w:p w:rsidR="0083039A" w:rsidRPr="00710150" w:rsidRDefault="0083039A" w:rsidP="0083039A">
      <w:pPr>
        <w:pStyle w:val="Zkladntext"/>
        <w:spacing w:before="60" w:line="242" w:lineRule="auto"/>
        <w:ind w:left="198" w:right="103"/>
        <w:jc w:val="both"/>
        <w:rPr>
          <w:sz w:val="24"/>
        </w:rPr>
      </w:pPr>
      <w:r w:rsidRPr="00710150">
        <w:rPr>
          <w:b/>
          <w:sz w:val="24"/>
        </w:rPr>
        <w:t xml:space="preserve">Doplnková ochrana </w:t>
      </w:r>
      <w:r w:rsidRPr="00710150">
        <w:rPr>
          <w:sz w:val="24"/>
        </w:rPr>
        <w:t>je forma medzinárodnej ochrany cudzinca. Poskytuje sa na dobu určitú, t. j. po dobu, kým pretrváva hrozba</w:t>
      </w:r>
      <w:r w:rsidR="00710150">
        <w:rPr>
          <w:sz w:val="24"/>
        </w:rPr>
        <w:t xml:space="preserve"> alebo vážne nebezpečenstvo v </w:t>
      </w:r>
      <w:r w:rsidRPr="00710150">
        <w:rPr>
          <w:sz w:val="24"/>
        </w:rPr>
        <w:t>krajine pôvodu (všeobecné nebezpečenstvo a</w:t>
      </w:r>
      <w:r w:rsidR="00710150">
        <w:rPr>
          <w:sz w:val="24"/>
        </w:rPr>
        <w:t xml:space="preserve"> pod.). Poskytuje sa na 1 rok s </w:t>
      </w:r>
      <w:bookmarkStart w:id="0" w:name="_GoBack"/>
      <w:bookmarkEnd w:id="0"/>
      <w:r w:rsidRPr="00710150">
        <w:rPr>
          <w:sz w:val="24"/>
        </w:rPr>
        <w:t>možnosťou predĺženia o ďalšie dva roky. V tomto prípade má osoba na území SR prechodný pobyt.</w:t>
      </w:r>
    </w:p>
    <w:p w:rsidR="0083039A" w:rsidRDefault="0083039A" w:rsidP="0083039A">
      <w:pPr>
        <w:spacing w:line="242" w:lineRule="auto"/>
        <w:jc w:val="both"/>
      </w:pPr>
    </w:p>
    <w:p w:rsidR="0083039A" w:rsidRDefault="0083039A" w:rsidP="0083039A">
      <w:pPr>
        <w:pStyle w:val="Zkladntext"/>
      </w:pPr>
    </w:p>
    <w:p w:rsidR="0083039A" w:rsidRDefault="0083039A" w:rsidP="0083039A">
      <w:pPr>
        <w:pStyle w:val="Zkladntext"/>
        <w:spacing w:before="3"/>
        <w:rPr>
          <w:sz w:val="22"/>
        </w:rPr>
      </w:pPr>
    </w:p>
    <w:p w:rsidR="0083039A" w:rsidRPr="00710150" w:rsidRDefault="0083039A" w:rsidP="0083039A">
      <w:pPr>
        <w:ind w:left="198"/>
        <w:rPr>
          <w:rFonts w:ascii="Arial" w:hAnsi="Arial"/>
          <w:sz w:val="24"/>
          <w:szCs w:val="24"/>
        </w:rPr>
      </w:pPr>
      <w:r w:rsidRPr="00710150">
        <w:rPr>
          <w:rFonts w:ascii="Arial" w:hAnsi="Arial"/>
          <w:b/>
          <w:sz w:val="24"/>
          <w:szCs w:val="24"/>
        </w:rPr>
        <w:t xml:space="preserve">Metodická poznámka </w:t>
      </w:r>
      <w:r w:rsidRPr="00710150">
        <w:rPr>
          <w:rFonts w:ascii="Arial" w:hAnsi="Arial"/>
          <w:sz w:val="24"/>
          <w:szCs w:val="24"/>
        </w:rPr>
        <w:t>– odchýlky v súčtoch podielov vznikajú zaokrúhľovaním údajov.</w:t>
      </w:r>
    </w:p>
    <w:p w:rsidR="0083039A" w:rsidRPr="00710150" w:rsidRDefault="0083039A" w:rsidP="0083039A">
      <w:pPr>
        <w:pStyle w:val="Zkladntext"/>
        <w:spacing w:before="10"/>
        <w:rPr>
          <w:sz w:val="24"/>
          <w:szCs w:val="24"/>
        </w:rPr>
      </w:pPr>
    </w:p>
    <w:p w:rsidR="0083039A" w:rsidRPr="00710150" w:rsidRDefault="0083039A" w:rsidP="0083039A">
      <w:pPr>
        <w:ind w:left="198"/>
        <w:rPr>
          <w:rFonts w:ascii="Arial" w:hAnsi="Arial"/>
          <w:b/>
          <w:sz w:val="24"/>
          <w:szCs w:val="24"/>
        </w:rPr>
      </w:pPr>
      <w:r w:rsidRPr="00710150">
        <w:rPr>
          <w:rFonts w:ascii="Arial" w:hAnsi="Arial"/>
          <w:b/>
          <w:sz w:val="24"/>
          <w:szCs w:val="24"/>
        </w:rPr>
        <w:t>Použité skratky:</w:t>
      </w:r>
    </w:p>
    <w:p w:rsidR="0083039A" w:rsidRPr="00710150" w:rsidRDefault="0083039A" w:rsidP="0083039A">
      <w:pPr>
        <w:pStyle w:val="Zkladntext"/>
        <w:rPr>
          <w:b/>
          <w:sz w:val="24"/>
          <w:szCs w:val="24"/>
        </w:rPr>
      </w:pPr>
    </w:p>
    <w:p w:rsidR="0083039A" w:rsidRPr="00710150" w:rsidRDefault="0083039A" w:rsidP="0083039A">
      <w:pPr>
        <w:pStyle w:val="Zkladntext"/>
        <w:spacing w:before="4"/>
        <w:rPr>
          <w:b/>
          <w:sz w:val="24"/>
          <w:szCs w:val="24"/>
        </w:rPr>
      </w:pPr>
    </w:p>
    <w:tbl>
      <w:tblPr>
        <w:tblStyle w:val="TableNormal"/>
        <w:tblW w:w="13926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992"/>
        <w:gridCol w:w="4382"/>
        <w:gridCol w:w="1563"/>
        <w:gridCol w:w="2852"/>
        <w:gridCol w:w="1799"/>
        <w:gridCol w:w="2338"/>
      </w:tblGrid>
      <w:tr w:rsidR="0083039A" w:rsidRPr="00710150" w:rsidTr="00710150">
        <w:trPr>
          <w:trHeight w:val="250"/>
        </w:trPr>
        <w:tc>
          <w:tcPr>
            <w:tcW w:w="992" w:type="dxa"/>
          </w:tcPr>
          <w:p w:rsidR="0083039A" w:rsidRPr="00710150" w:rsidRDefault="0083039A" w:rsidP="00A26A94">
            <w:pPr>
              <w:pStyle w:val="TableParagraph"/>
              <w:spacing w:line="223" w:lineRule="exact"/>
              <w:ind w:left="200"/>
              <w:jc w:val="left"/>
              <w:rPr>
                <w:rFonts w:ascii="Arial"/>
                <w:sz w:val="24"/>
                <w:szCs w:val="24"/>
              </w:rPr>
            </w:pPr>
            <w:r w:rsidRPr="00710150">
              <w:rPr>
                <w:rFonts w:ascii="Arial"/>
                <w:sz w:val="24"/>
                <w:szCs w:val="24"/>
              </w:rPr>
              <w:t>SR</w:t>
            </w:r>
          </w:p>
        </w:tc>
        <w:tc>
          <w:tcPr>
            <w:tcW w:w="4382" w:type="dxa"/>
          </w:tcPr>
          <w:p w:rsidR="0083039A" w:rsidRPr="00710150" w:rsidRDefault="0083039A" w:rsidP="00A26A94">
            <w:pPr>
              <w:pStyle w:val="TableParagraph"/>
              <w:spacing w:line="223" w:lineRule="exact"/>
              <w:ind w:left="110"/>
              <w:jc w:val="left"/>
              <w:rPr>
                <w:rFonts w:ascii="Arial" w:hAnsi="Arial"/>
                <w:sz w:val="24"/>
                <w:szCs w:val="24"/>
              </w:rPr>
            </w:pPr>
            <w:r w:rsidRPr="00710150">
              <w:rPr>
                <w:rFonts w:ascii="Arial" w:hAnsi="Arial"/>
                <w:sz w:val="24"/>
                <w:szCs w:val="24"/>
              </w:rPr>
              <w:t>Slovenská republika</w:t>
            </w:r>
          </w:p>
        </w:tc>
        <w:tc>
          <w:tcPr>
            <w:tcW w:w="1563" w:type="dxa"/>
          </w:tcPr>
          <w:p w:rsidR="0083039A" w:rsidRPr="00710150" w:rsidRDefault="0083039A" w:rsidP="00A26A94">
            <w:pPr>
              <w:pStyle w:val="TableParagraph"/>
              <w:spacing w:line="223" w:lineRule="exact"/>
              <w:ind w:right="184"/>
              <w:rPr>
                <w:rFonts w:ascii="Arial"/>
                <w:sz w:val="24"/>
                <w:szCs w:val="24"/>
              </w:rPr>
            </w:pPr>
            <w:r w:rsidRPr="00710150">
              <w:rPr>
                <w:rFonts w:ascii="Arial"/>
                <w:w w:val="95"/>
                <w:sz w:val="24"/>
                <w:szCs w:val="24"/>
              </w:rPr>
              <w:t>CH</w:t>
            </w:r>
          </w:p>
        </w:tc>
        <w:tc>
          <w:tcPr>
            <w:tcW w:w="2852" w:type="dxa"/>
          </w:tcPr>
          <w:p w:rsidR="0083039A" w:rsidRPr="00710150" w:rsidRDefault="00710150" w:rsidP="00A26A94">
            <w:pPr>
              <w:pStyle w:val="TableParagraph"/>
              <w:spacing w:line="223" w:lineRule="exact"/>
              <w:ind w:left="178"/>
              <w:jc w:val="lef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Š</w:t>
            </w:r>
            <w:r w:rsidR="0083039A" w:rsidRPr="00710150">
              <w:rPr>
                <w:rFonts w:ascii="Arial" w:hAnsi="Arial"/>
                <w:szCs w:val="24"/>
              </w:rPr>
              <w:t>vajčiarsko</w:t>
            </w:r>
          </w:p>
        </w:tc>
        <w:tc>
          <w:tcPr>
            <w:tcW w:w="1799" w:type="dxa"/>
          </w:tcPr>
          <w:p w:rsidR="0083039A" w:rsidRPr="00710150" w:rsidRDefault="0083039A" w:rsidP="00A26A94">
            <w:pPr>
              <w:pStyle w:val="TableParagraph"/>
              <w:spacing w:line="223" w:lineRule="exact"/>
              <w:ind w:right="256"/>
              <w:rPr>
                <w:rFonts w:ascii="Arial"/>
                <w:sz w:val="24"/>
                <w:szCs w:val="24"/>
              </w:rPr>
            </w:pPr>
            <w:r w:rsidRPr="00710150">
              <w:rPr>
                <w:rFonts w:ascii="Arial"/>
                <w:w w:val="95"/>
                <w:sz w:val="24"/>
                <w:szCs w:val="24"/>
              </w:rPr>
              <w:t>AL</w:t>
            </w:r>
          </w:p>
        </w:tc>
        <w:tc>
          <w:tcPr>
            <w:tcW w:w="2338" w:type="dxa"/>
          </w:tcPr>
          <w:p w:rsidR="0083039A" w:rsidRPr="00710150" w:rsidRDefault="0083039A" w:rsidP="00A26A94">
            <w:pPr>
              <w:pStyle w:val="TableParagraph"/>
              <w:spacing w:line="231" w:lineRule="exact"/>
              <w:ind w:left="208"/>
              <w:jc w:val="left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710150">
              <w:rPr>
                <w:rFonts w:ascii="Calibri" w:hAnsi="Calibri"/>
                <w:sz w:val="24"/>
                <w:szCs w:val="24"/>
              </w:rPr>
              <w:t>Albánsko</w:t>
            </w:r>
            <w:proofErr w:type="spellEnd"/>
          </w:p>
        </w:tc>
      </w:tr>
      <w:tr w:rsidR="0083039A" w:rsidRPr="00710150" w:rsidTr="00710150">
        <w:trPr>
          <w:trHeight w:val="232"/>
        </w:trPr>
        <w:tc>
          <w:tcPr>
            <w:tcW w:w="992" w:type="dxa"/>
          </w:tcPr>
          <w:p w:rsidR="0083039A" w:rsidRPr="00710150" w:rsidRDefault="0083039A" w:rsidP="00A26A94">
            <w:pPr>
              <w:pStyle w:val="TableParagraph"/>
              <w:spacing w:line="212" w:lineRule="exact"/>
              <w:ind w:left="200"/>
              <w:jc w:val="left"/>
              <w:rPr>
                <w:rFonts w:ascii="Arial" w:hAnsi="Arial"/>
                <w:sz w:val="24"/>
                <w:szCs w:val="24"/>
              </w:rPr>
            </w:pPr>
            <w:r w:rsidRPr="00710150">
              <w:rPr>
                <w:rFonts w:ascii="Arial" w:hAnsi="Arial"/>
                <w:sz w:val="24"/>
                <w:szCs w:val="24"/>
              </w:rPr>
              <w:t>EÚ</w:t>
            </w:r>
          </w:p>
        </w:tc>
        <w:tc>
          <w:tcPr>
            <w:tcW w:w="4382" w:type="dxa"/>
          </w:tcPr>
          <w:p w:rsidR="0083039A" w:rsidRPr="00710150" w:rsidRDefault="0083039A" w:rsidP="00A26A94">
            <w:pPr>
              <w:pStyle w:val="TableParagraph"/>
              <w:spacing w:line="212" w:lineRule="exact"/>
              <w:ind w:left="110"/>
              <w:jc w:val="left"/>
              <w:rPr>
                <w:rFonts w:ascii="Arial" w:hAnsi="Arial"/>
                <w:sz w:val="24"/>
                <w:szCs w:val="24"/>
              </w:rPr>
            </w:pPr>
            <w:r w:rsidRPr="00710150">
              <w:rPr>
                <w:rFonts w:ascii="Arial" w:hAnsi="Arial"/>
                <w:sz w:val="24"/>
                <w:szCs w:val="24"/>
              </w:rPr>
              <w:t>Európska únia</w:t>
            </w:r>
          </w:p>
        </w:tc>
        <w:tc>
          <w:tcPr>
            <w:tcW w:w="1563" w:type="dxa"/>
          </w:tcPr>
          <w:p w:rsidR="0083039A" w:rsidRPr="00710150" w:rsidRDefault="0083039A" w:rsidP="00A26A94">
            <w:pPr>
              <w:pStyle w:val="TableParagraph"/>
              <w:spacing w:line="212" w:lineRule="exact"/>
              <w:ind w:right="284"/>
              <w:rPr>
                <w:rFonts w:ascii="Arial"/>
                <w:sz w:val="24"/>
                <w:szCs w:val="24"/>
              </w:rPr>
            </w:pPr>
            <w:r w:rsidRPr="00710150">
              <w:rPr>
                <w:rFonts w:ascii="Arial"/>
                <w:w w:val="95"/>
                <w:sz w:val="24"/>
                <w:szCs w:val="24"/>
              </w:rPr>
              <w:t>IS</w:t>
            </w:r>
          </w:p>
        </w:tc>
        <w:tc>
          <w:tcPr>
            <w:tcW w:w="2852" w:type="dxa"/>
          </w:tcPr>
          <w:p w:rsidR="0083039A" w:rsidRPr="00710150" w:rsidRDefault="0083039A" w:rsidP="00A26A94">
            <w:pPr>
              <w:pStyle w:val="TableParagraph"/>
              <w:spacing w:line="212" w:lineRule="exact"/>
              <w:ind w:left="178"/>
              <w:jc w:val="left"/>
              <w:rPr>
                <w:rFonts w:ascii="Arial"/>
                <w:sz w:val="24"/>
                <w:szCs w:val="24"/>
              </w:rPr>
            </w:pPr>
            <w:r w:rsidRPr="00710150">
              <w:rPr>
                <w:rFonts w:ascii="Arial"/>
                <w:sz w:val="24"/>
                <w:szCs w:val="24"/>
              </w:rPr>
              <w:t>Island</w:t>
            </w:r>
          </w:p>
        </w:tc>
        <w:tc>
          <w:tcPr>
            <w:tcW w:w="1799" w:type="dxa"/>
          </w:tcPr>
          <w:p w:rsidR="0083039A" w:rsidRPr="00710150" w:rsidRDefault="0083039A" w:rsidP="00A26A94">
            <w:pPr>
              <w:pStyle w:val="TableParagraph"/>
              <w:spacing w:line="212" w:lineRule="exact"/>
              <w:ind w:right="200"/>
              <w:rPr>
                <w:rFonts w:ascii="Arial"/>
                <w:sz w:val="24"/>
                <w:szCs w:val="24"/>
              </w:rPr>
            </w:pPr>
            <w:r w:rsidRPr="00710150">
              <w:rPr>
                <w:rFonts w:ascii="Arial"/>
                <w:w w:val="95"/>
                <w:sz w:val="24"/>
                <w:szCs w:val="24"/>
              </w:rPr>
              <w:t>ME</w:t>
            </w:r>
          </w:p>
        </w:tc>
        <w:tc>
          <w:tcPr>
            <w:tcW w:w="2338" w:type="dxa"/>
          </w:tcPr>
          <w:p w:rsidR="0083039A" w:rsidRPr="00710150" w:rsidRDefault="0083039A" w:rsidP="00A26A94">
            <w:pPr>
              <w:pStyle w:val="TableParagraph"/>
              <w:spacing w:line="212" w:lineRule="exact"/>
              <w:ind w:left="208"/>
              <w:jc w:val="left"/>
              <w:rPr>
                <w:rFonts w:ascii="Arial" w:hAnsi="Arial"/>
                <w:sz w:val="24"/>
                <w:szCs w:val="24"/>
              </w:rPr>
            </w:pPr>
            <w:proofErr w:type="spellStart"/>
            <w:r w:rsidRPr="00710150">
              <w:rPr>
                <w:rFonts w:ascii="Arial" w:hAnsi="Arial"/>
                <w:sz w:val="24"/>
                <w:szCs w:val="24"/>
              </w:rPr>
              <w:t>Čierna</w:t>
            </w:r>
            <w:proofErr w:type="spellEnd"/>
            <w:r w:rsidRPr="00710150">
              <w:rPr>
                <w:rFonts w:ascii="Arial" w:hAnsi="Arial"/>
                <w:sz w:val="24"/>
                <w:szCs w:val="24"/>
              </w:rPr>
              <w:t xml:space="preserve"> Hora</w:t>
            </w:r>
          </w:p>
        </w:tc>
      </w:tr>
      <w:tr w:rsidR="0083039A" w:rsidRPr="00710150" w:rsidTr="00710150">
        <w:trPr>
          <w:trHeight w:val="230"/>
        </w:trPr>
        <w:tc>
          <w:tcPr>
            <w:tcW w:w="992" w:type="dxa"/>
          </w:tcPr>
          <w:p w:rsidR="0083039A" w:rsidRPr="00710150" w:rsidRDefault="0083039A" w:rsidP="00A26A94">
            <w:pPr>
              <w:pStyle w:val="TableParagraph"/>
              <w:spacing w:line="211" w:lineRule="exact"/>
              <w:ind w:left="200"/>
              <w:jc w:val="left"/>
              <w:rPr>
                <w:rFonts w:ascii="Arial"/>
                <w:sz w:val="24"/>
                <w:szCs w:val="24"/>
              </w:rPr>
            </w:pPr>
            <w:r w:rsidRPr="00710150">
              <w:rPr>
                <w:rFonts w:ascii="Arial"/>
                <w:sz w:val="24"/>
                <w:szCs w:val="24"/>
              </w:rPr>
              <w:t>EZVO</w:t>
            </w:r>
          </w:p>
        </w:tc>
        <w:tc>
          <w:tcPr>
            <w:tcW w:w="4382" w:type="dxa"/>
          </w:tcPr>
          <w:p w:rsidR="0083039A" w:rsidRPr="00710150" w:rsidRDefault="0083039A" w:rsidP="00A26A94">
            <w:pPr>
              <w:pStyle w:val="TableParagraph"/>
              <w:spacing w:line="211" w:lineRule="exact"/>
              <w:ind w:left="110"/>
              <w:jc w:val="left"/>
              <w:rPr>
                <w:rFonts w:ascii="Arial" w:hAnsi="Arial"/>
                <w:sz w:val="24"/>
                <w:szCs w:val="24"/>
              </w:rPr>
            </w:pPr>
            <w:r w:rsidRPr="00710150">
              <w:rPr>
                <w:rFonts w:ascii="Arial" w:hAnsi="Arial"/>
                <w:sz w:val="24"/>
                <w:szCs w:val="24"/>
              </w:rPr>
              <w:t>Európske združenie voľného obchodu</w:t>
            </w:r>
          </w:p>
        </w:tc>
        <w:tc>
          <w:tcPr>
            <w:tcW w:w="1563" w:type="dxa"/>
          </w:tcPr>
          <w:p w:rsidR="0083039A" w:rsidRPr="00710150" w:rsidRDefault="0083039A" w:rsidP="00A26A94">
            <w:pPr>
              <w:pStyle w:val="TableParagraph"/>
              <w:spacing w:line="211" w:lineRule="exact"/>
              <w:ind w:right="307"/>
              <w:rPr>
                <w:rFonts w:ascii="Arial"/>
                <w:sz w:val="24"/>
                <w:szCs w:val="24"/>
              </w:rPr>
            </w:pPr>
            <w:r w:rsidRPr="00710150">
              <w:rPr>
                <w:rFonts w:ascii="Arial"/>
                <w:w w:val="95"/>
                <w:sz w:val="24"/>
                <w:szCs w:val="24"/>
              </w:rPr>
              <w:t>LI</w:t>
            </w:r>
          </w:p>
        </w:tc>
        <w:tc>
          <w:tcPr>
            <w:tcW w:w="2852" w:type="dxa"/>
          </w:tcPr>
          <w:p w:rsidR="0083039A" w:rsidRPr="00710150" w:rsidRDefault="0083039A" w:rsidP="00A26A94">
            <w:pPr>
              <w:pStyle w:val="TableParagraph"/>
              <w:spacing w:line="211" w:lineRule="exact"/>
              <w:ind w:left="178"/>
              <w:jc w:val="left"/>
              <w:rPr>
                <w:rFonts w:ascii="Arial" w:hAnsi="Arial"/>
                <w:sz w:val="24"/>
                <w:szCs w:val="24"/>
              </w:rPr>
            </w:pPr>
            <w:r w:rsidRPr="00710150">
              <w:rPr>
                <w:rFonts w:ascii="Arial" w:hAnsi="Arial"/>
                <w:sz w:val="24"/>
                <w:szCs w:val="24"/>
              </w:rPr>
              <w:t>Lichtenštajnsko</w:t>
            </w:r>
          </w:p>
        </w:tc>
        <w:tc>
          <w:tcPr>
            <w:tcW w:w="1799" w:type="dxa"/>
          </w:tcPr>
          <w:p w:rsidR="0083039A" w:rsidRPr="00710150" w:rsidRDefault="0083039A" w:rsidP="00A26A94">
            <w:pPr>
              <w:pStyle w:val="TableParagraph"/>
              <w:spacing w:line="211" w:lineRule="exact"/>
              <w:ind w:right="200"/>
              <w:rPr>
                <w:rFonts w:ascii="Arial"/>
                <w:sz w:val="24"/>
                <w:szCs w:val="24"/>
              </w:rPr>
            </w:pPr>
            <w:r w:rsidRPr="00710150">
              <w:rPr>
                <w:rFonts w:ascii="Arial"/>
                <w:w w:val="95"/>
                <w:sz w:val="24"/>
                <w:szCs w:val="24"/>
              </w:rPr>
              <w:t>MK</w:t>
            </w:r>
          </w:p>
        </w:tc>
        <w:tc>
          <w:tcPr>
            <w:tcW w:w="2338" w:type="dxa"/>
          </w:tcPr>
          <w:p w:rsidR="0083039A" w:rsidRPr="00710150" w:rsidRDefault="0083039A" w:rsidP="00A26A94">
            <w:pPr>
              <w:pStyle w:val="TableParagraph"/>
              <w:spacing w:line="211" w:lineRule="exact"/>
              <w:ind w:left="208"/>
              <w:jc w:val="left"/>
              <w:rPr>
                <w:rFonts w:ascii="Arial" w:hAnsi="Arial"/>
                <w:sz w:val="24"/>
                <w:szCs w:val="24"/>
              </w:rPr>
            </w:pPr>
            <w:proofErr w:type="spellStart"/>
            <w:r w:rsidRPr="00710150">
              <w:rPr>
                <w:rFonts w:ascii="Arial" w:hAnsi="Arial"/>
                <w:sz w:val="24"/>
                <w:szCs w:val="24"/>
              </w:rPr>
              <w:t>Severné</w:t>
            </w:r>
            <w:proofErr w:type="spellEnd"/>
            <w:r w:rsidRPr="00710150">
              <w:rPr>
                <w:rFonts w:ascii="Arial" w:hAnsi="Arial"/>
                <w:sz w:val="24"/>
                <w:szCs w:val="24"/>
              </w:rPr>
              <w:t xml:space="preserve"> </w:t>
            </w:r>
            <w:proofErr w:type="spellStart"/>
            <w:r w:rsidRPr="00710150">
              <w:rPr>
                <w:rFonts w:ascii="Arial" w:hAnsi="Arial"/>
                <w:sz w:val="24"/>
                <w:szCs w:val="24"/>
              </w:rPr>
              <w:t>Macedónsko</w:t>
            </w:r>
            <w:proofErr w:type="spellEnd"/>
          </w:p>
        </w:tc>
      </w:tr>
      <w:tr w:rsidR="0083039A" w:rsidRPr="00710150" w:rsidTr="00710150">
        <w:trPr>
          <w:trHeight w:val="229"/>
        </w:trPr>
        <w:tc>
          <w:tcPr>
            <w:tcW w:w="992" w:type="dxa"/>
          </w:tcPr>
          <w:p w:rsidR="0083039A" w:rsidRPr="00710150" w:rsidRDefault="0083039A" w:rsidP="00A26A94">
            <w:pPr>
              <w:pStyle w:val="TableParagraph"/>
              <w:spacing w:line="210" w:lineRule="exact"/>
              <w:ind w:left="200"/>
              <w:jc w:val="left"/>
              <w:rPr>
                <w:rFonts w:ascii="Arial"/>
                <w:sz w:val="24"/>
                <w:szCs w:val="24"/>
              </w:rPr>
            </w:pPr>
            <w:r w:rsidRPr="00710150">
              <w:rPr>
                <w:rFonts w:ascii="Arial"/>
                <w:sz w:val="24"/>
                <w:szCs w:val="24"/>
              </w:rPr>
              <w:t>EHP</w:t>
            </w:r>
          </w:p>
        </w:tc>
        <w:tc>
          <w:tcPr>
            <w:tcW w:w="4382" w:type="dxa"/>
          </w:tcPr>
          <w:p w:rsidR="0083039A" w:rsidRPr="00710150" w:rsidRDefault="0083039A" w:rsidP="00A26A94">
            <w:pPr>
              <w:pStyle w:val="TableParagraph"/>
              <w:spacing w:line="210" w:lineRule="exact"/>
              <w:ind w:left="110"/>
              <w:jc w:val="left"/>
              <w:rPr>
                <w:rFonts w:ascii="Arial" w:hAnsi="Arial"/>
                <w:sz w:val="24"/>
                <w:szCs w:val="24"/>
              </w:rPr>
            </w:pPr>
            <w:r w:rsidRPr="00710150">
              <w:rPr>
                <w:rFonts w:ascii="Arial" w:hAnsi="Arial"/>
                <w:sz w:val="24"/>
                <w:szCs w:val="24"/>
              </w:rPr>
              <w:t>Európsky hospodársky priestor</w:t>
            </w:r>
          </w:p>
        </w:tc>
        <w:tc>
          <w:tcPr>
            <w:tcW w:w="1563" w:type="dxa"/>
          </w:tcPr>
          <w:p w:rsidR="0083039A" w:rsidRPr="00710150" w:rsidRDefault="0083039A" w:rsidP="00A26A94">
            <w:pPr>
              <w:pStyle w:val="TableParagraph"/>
              <w:spacing w:line="210" w:lineRule="exact"/>
              <w:ind w:right="173"/>
              <w:rPr>
                <w:rFonts w:ascii="Arial"/>
                <w:sz w:val="24"/>
                <w:szCs w:val="24"/>
              </w:rPr>
            </w:pPr>
            <w:r w:rsidRPr="00710150">
              <w:rPr>
                <w:rFonts w:ascii="Arial"/>
                <w:w w:val="95"/>
                <w:sz w:val="24"/>
                <w:szCs w:val="24"/>
              </w:rPr>
              <w:t>NO</w:t>
            </w:r>
          </w:p>
        </w:tc>
        <w:tc>
          <w:tcPr>
            <w:tcW w:w="2852" w:type="dxa"/>
          </w:tcPr>
          <w:p w:rsidR="0083039A" w:rsidRPr="00710150" w:rsidRDefault="0083039A" w:rsidP="00A26A94">
            <w:pPr>
              <w:pStyle w:val="TableParagraph"/>
              <w:spacing w:line="210" w:lineRule="exact"/>
              <w:ind w:left="178"/>
              <w:jc w:val="left"/>
              <w:rPr>
                <w:rFonts w:ascii="Arial" w:hAnsi="Arial"/>
                <w:sz w:val="24"/>
                <w:szCs w:val="24"/>
              </w:rPr>
            </w:pPr>
            <w:r w:rsidRPr="00710150">
              <w:rPr>
                <w:rFonts w:ascii="Arial" w:hAnsi="Arial"/>
                <w:sz w:val="24"/>
                <w:szCs w:val="24"/>
              </w:rPr>
              <w:t>Nórsko</w:t>
            </w:r>
          </w:p>
        </w:tc>
        <w:tc>
          <w:tcPr>
            <w:tcW w:w="1799" w:type="dxa"/>
          </w:tcPr>
          <w:p w:rsidR="0083039A" w:rsidRPr="00710150" w:rsidRDefault="0083039A" w:rsidP="00A26A94">
            <w:pPr>
              <w:pStyle w:val="TableParagraph"/>
              <w:spacing w:line="210" w:lineRule="exact"/>
              <w:ind w:right="221"/>
              <w:rPr>
                <w:rFonts w:ascii="Arial"/>
                <w:sz w:val="24"/>
                <w:szCs w:val="24"/>
              </w:rPr>
            </w:pPr>
            <w:r w:rsidRPr="00710150">
              <w:rPr>
                <w:rFonts w:ascii="Arial"/>
                <w:w w:val="95"/>
                <w:sz w:val="24"/>
                <w:szCs w:val="24"/>
              </w:rPr>
              <w:t>RS</w:t>
            </w:r>
          </w:p>
        </w:tc>
        <w:tc>
          <w:tcPr>
            <w:tcW w:w="2338" w:type="dxa"/>
          </w:tcPr>
          <w:p w:rsidR="0083039A" w:rsidRPr="00710150" w:rsidRDefault="0083039A" w:rsidP="00A26A94">
            <w:pPr>
              <w:pStyle w:val="TableParagraph"/>
              <w:spacing w:line="210" w:lineRule="exact"/>
              <w:ind w:left="208"/>
              <w:jc w:val="left"/>
              <w:rPr>
                <w:rFonts w:ascii="Arial"/>
                <w:sz w:val="24"/>
                <w:szCs w:val="24"/>
              </w:rPr>
            </w:pPr>
            <w:proofErr w:type="spellStart"/>
            <w:r w:rsidRPr="00710150">
              <w:rPr>
                <w:rFonts w:ascii="Arial"/>
                <w:sz w:val="24"/>
                <w:szCs w:val="24"/>
              </w:rPr>
              <w:t>Srbsko</w:t>
            </w:r>
            <w:proofErr w:type="spellEnd"/>
          </w:p>
        </w:tc>
      </w:tr>
      <w:tr w:rsidR="0083039A" w:rsidRPr="00710150" w:rsidTr="00710150">
        <w:trPr>
          <w:trHeight w:val="225"/>
        </w:trPr>
        <w:tc>
          <w:tcPr>
            <w:tcW w:w="992" w:type="dxa"/>
          </w:tcPr>
          <w:p w:rsidR="0083039A" w:rsidRPr="00710150" w:rsidRDefault="0083039A" w:rsidP="00A26A94">
            <w:pPr>
              <w:pStyle w:val="TableParagraph"/>
              <w:spacing w:line="205" w:lineRule="exact"/>
              <w:ind w:left="200"/>
              <w:jc w:val="left"/>
              <w:rPr>
                <w:rFonts w:ascii="Arial"/>
                <w:sz w:val="24"/>
                <w:szCs w:val="24"/>
              </w:rPr>
            </w:pPr>
            <w:r w:rsidRPr="00710150">
              <w:rPr>
                <w:rFonts w:ascii="Arial"/>
                <w:sz w:val="24"/>
                <w:szCs w:val="24"/>
              </w:rPr>
              <w:t>HDI</w:t>
            </w:r>
          </w:p>
        </w:tc>
        <w:tc>
          <w:tcPr>
            <w:tcW w:w="4382" w:type="dxa"/>
          </w:tcPr>
          <w:p w:rsidR="0083039A" w:rsidRPr="00710150" w:rsidRDefault="0083039A" w:rsidP="00A26A94">
            <w:pPr>
              <w:pStyle w:val="TableParagraph"/>
              <w:spacing w:line="205" w:lineRule="exact"/>
              <w:ind w:left="110"/>
              <w:jc w:val="left"/>
              <w:rPr>
                <w:rFonts w:ascii="Arial" w:hAnsi="Arial"/>
                <w:sz w:val="24"/>
                <w:szCs w:val="24"/>
              </w:rPr>
            </w:pPr>
            <w:r w:rsidRPr="00710150">
              <w:rPr>
                <w:rFonts w:ascii="Arial" w:hAnsi="Arial"/>
                <w:sz w:val="24"/>
                <w:szCs w:val="24"/>
              </w:rPr>
              <w:t>Index ľudského rozvoja</w:t>
            </w:r>
          </w:p>
        </w:tc>
        <w:tc>
          <w:tcPr>
            <w:tcW w:w="1563" w:type="dxa"/>
          </w:tcPr>
          <w:p w:rsidR="0083039A" w:rsidRPr="00710150" w:rsidRDefault="0083039A" w:rsidP="00A26A94"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2852" w:type="dxa"/>
          </w:tcPr>
          <w:p w:rsidR="0083039A" w:rsidRPr="00710150" w:rsidRDefault="0083039A" w:rsidP="00A26A94"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:rsidR="0083039A" w:rsidRPr="00710150" w:rsidRDefault="0083039A" w:rsidP="00A26A94">
            <w:pPr>
              <w:pStyle w:val="TableParagraph"/>
              <w:spacing w:line="205" w:lineRule="exact"/>
              <w:ind w:right="226"/>
              <w:rPr>
                <w:rFonts w:ascii="Arial"/>
                <w:sz w:val="24"/>
                <w:szCs w:val="24"/>
              </w:rPr>
            </w:pPr>
            <w:r w:rsidRPr="00710150">
              <w:rPr>
                <w:rFonts w:ascii="Arial"/>
                <w:w w:val="95"/>
                <w:sz w:val="24"/>
                <w:szCs w:val="24"/>
              </w:rPr>
              <w:t>TR</w:t>
            </w:r>
          </w:p>
        </w:tc>
        <w:tc>
          <w:tcPr>
            <w:tcW w:w="2338" w:type="dxa"/>
          </w:tcPr>
          <w:p w:rsidR="0083039A" w:rsidRPr="00710150" w:rsidRDefault="0083039A" w:rsidP="00A26A94">
            <w:pPr>
              <w:pStyle w:val="TableParagraph"/>
              <w:spacing w:line="205" w:lineRule="exact"/>
              <w:ind w:left="208"/>
              <w:jc w:val="left"/>
              <w:rPr>
                <w:rFonts w:ascii="Arial"/>
                <w:sz w:val="24"/>
                <w:szCs w:val="24"/>
              </w:rPr>
            </w:pPr>
            <w:proofErr w:type="spellStart"/>
            <w:r w:rsidRPr="00710150">
              <w:rPr>
                <w:rFonts w:ascii="Arial"/>
                <w:sz w:val="24"/>
                <w:szCs w:val="24"/>
              </w:rPr>
              <w:t>Turecko</w:t>
            </w:r>
            <w:proofErr w:type="spellEnd"/>
          </w:p>
        </w:tc>
      </w:tr>
    </w:tbl>
    <w:p w:rsidR="0083039A" w:rsidRPr="00710150" w:rsidRDefault="0083039A" w:rsidP="0083039A">
      <w:pPr>
        <w:pStyle w:val="Zkladntext"/>
        <w:rPr>
          <w:b/>
          <w:sz w:val="24"/>
          <w:szCs w:val="24"/>
        </w:rPr>
      </w:pPr>
    </w:p>
    <w:p w:rsidR="0083039A" w:rsidRPr="00710150" w:rsidRDefault="0083039A" w:rsidP="0083039A">
      <w:pPr>
        <w:pStyle w:val="Zkladntext"/>
        <w:spacing w:before="1"/>
        <w:rPr>
          <w:b/>
          <w:sz w:val="24"/>
          <w:szCs w:val="24"/>
        </w:rPr>
      </w:pPr>
    </w:p>
    <w:p w:rsidR="0083039A" w:rsidRPr="00710150" w:rsidRDefault="0083039A" w:rsidP="00710150">
      <w:pPr>
        <w:pStyle w:val="Zkladntext"/>
        <w:ind w:left="198"/>
        <w:jc w:val="both"/>
        <w:rPr>
          <w:sz w:val="24"/>
          <w:szCs w:val="24"/>
        </w:rPr>
      </w:pPr>
      <w:r w:rsidRPr="00710150">
        <w:rPr>
          <w:sz w:val="24"/>
          <w:szCs w:val="24"/>
        </w:rPr>
        <w:t>Štatistické informácie o zahraničnom sťahovaní sa nachádzajú a sú priebežne aktualizované na internetových stránkach Štatistického úradu SR v doméne</w:t>
      </w:r>
    </w:p>
    <w:p w:rsidR="0083039A" w:rsidRPr="00710150" w:rsidRDefault="0083039A" w:rsidP="00710150">
      <w:pPr>
        <w:pStyle w:val="Zkladntext"/>
        <w:spacing w:before="1"/>
        <w:ind w:left="198"/>
        <w:jc w:val="both"/>
        <w:rPr>
          <w:sz w:val="24"/>
          <w:szCs w:val="24"/>
        </w:rPr>
      </w:pPr>
      <w:r w:rsidRPr="00710150">
        <w:rPr>
          <w:sz w:val="24"/>
          <w:szCs w:val="24"/>
        </w:rPr>
        <w:t xml:space="preserve">„Demografia“ a v databáze Štatistického úradu SR – </w:t>
      </w:r>
      <w:proofErr w:type="spellStart"/>
      <w:r w:rsidRPr="00710150">
        <w:rPr>
          <w:sz w:val="24"/>
          <w:szCs w:val="24"/>
        </w:rPr>
        <w:t>DATAcube</w:t>
      </w:r>
      <w:proofErr w:type="spellEnd"/>
      <w:r w:rsidRPr="00710150">
        <w:rPr>
          <w:sz w:val="24"/>
          <w:szCs w:val="24"/>
        </w:rPr>
        <w:t xml:space="preserve">. </w:t>
      </w:r>
      <w:hyperlink r:id="rId5">
        <w:r w:rsidRPr="00710150">
          <w:rPr>
            <w:sz w:val="24"/>
            <w:szCs w:val="24"/>
          </w:rPr>
          <w:t>(</w:t>
        </w:r>
        <w:r w:rsidRPr="00710150">
          <w:rPr>
            <w:color w:val="0000FF"/>
            <w:sz w:val="24"/>
            <w:szCs w:val="24"/>
          </w:rPr>
          <w:t>http:/datacube.st</w:t>
        </w:r>
        <w:r w:rsidRPr="00710150">
          <w:rPr>
            <w:color w:val="0000FF"/>
            <w:sz w:val="24"/>
            <w:szCs w:val="24"/>
          </w:rPr>
          <w:t>a</w:t>
        </w:r>
        <w:r w:rsidRPr="00710150">
          <w:rPr>
            <w:color w:val="0000FF"/>
            <w:sz w:val="24"/>
            <w:szCs w:val="24"/>
          </w:rPr>
          <w:t>tistics.sk</w:t>
        </w:r>
      </w:hyperlink>
      <w:r w:rsidRPr="00710150">
        <w:rPr>
          <w:sz w:val="24"/>
          <w:szCs w:val="24"/>
        </w:rPr>
        <w:t>).</w:t>
      </w:r>
    </w:p>
    <w:p w:rsidR="00D25B49" w:rsidRDefault="00D25B49"/>
    <w:sectPr w:rsidR="00D25B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39A"/>
    <w:rsid w:val="00710150"/>
    <w:rsid w:val="0083039A"/>
    <w:rsid w:val="00D2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04052"/>
  <w15:chartTrackingRefBased/>
  <w15:docId w15:val="{F88AB42B-778C-4D71-B41B-DBEE1CDE9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83039A"/>
    <w:pPr>
      <w:widowControl w:val="0"/>
      <w:autoSpaceDE w:val="0"/>
      <w:autoSpaceDN w:val="0"/>
      <w:spacing w:after="0" w:line="240" w:lineRule="auto"/>
    </w:pPr>
    <w:rPr>
      <w:rFonts w:ascii="Arial Narrow" w:eastAsia="Arial Narrow" w:hAnsi="Arial Narrow" w:cs="Arial Narrow"/>
      <w:lang w:eastAsia="sk-SK" w:bidi="sk-SK"/>
    </w:rPr>
  </w:style>
  <w:style w:type="paragraph" w:styleId="Nadpis2">
    <w:name w:val="heading 2"/>
    <w:basedOn w:val="Normlny"/>
    <w:link w:val="Nadpis2Char"/>
    <w:uiPriority w:val="1"/>
    <w:qFormat/>
    <w:rsid w:val="0083039A"/>
    <w:pPr>
      <w:spacing w:before="92"/>
      <w:outlineLvl w:val="1"/>
    </w:pPr>
    <w:rPr>
      <w:rFonts w:ascii="Arial" w:eastAsia="Arial" w:hAnsi="Arial" w:cs="Arial"/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1"/>
    <w:rsid w:val="0083039A"/>
    <w:rPr>
      <w:rFonts w:ascii="Arial" w:eastAsia="Arial" w:hAnsi="Arial" w:cs="Arial"/>
      <w:b/>
      <w:bCs/>
      <w:sz w:val="28"/>
      <w:szCs w:val="28"/>
      <w:lang w:eastAsia="sk-SK" w:bidi="sk-SK"/>
    </w:rPr>
  </w:style>
  <w:style w:type="table" w:customStyle="1" w:styleId="TableNormal">
    <w:name w:val="Table Normal"/>
    <w:uiPriority w:val="2"/>
    <w:semiHidden/>
    <w:unhideWhenUsed/>
    <w:qFormat/>
    <w:rsid w:val="0083039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link w:val="ZkladntextChar"/>
    <w:uiPriority w:val="1"/>
    <w:qFormat/>
    <w:rsid w:val="0083039A"/>
    <w:rPr>
      <w:rFonts w:ascii="Arial" w:eastAsia="Arial" w:hAnsi="Arial" w:cs="Arial"/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uiPriority w:val="1"/>
    <w:rsid w:val="0083039A"/>
    <w:rPr>
      <w:rFonts w:ascii="Arial" w:eastAsia="Arial" w:hAnsi="Arial" w:cs="Arial"/>
      <w:sz w:val="20"/>
      <w:szCs w:val="20"/>
      <w:lang w:eastAsia="sk-SK" w:bidi="sk-SK"/>
    </w:rPr>
  </w:style>
  <w:style w:type="paragraph" w:customStyle="1" w:styleId="TableParagraph">
    <w:name w:val="Table Paragraph"/>
    <w:basedOn w:val="Normlny"/>
    <w:uiPriority w:val="1"/>
    <w:qFormat/>
    <w:rsid w:val="0083039A"/>
    <w:pPr>
      <w:spacing w:line="203" w:lineRule="exact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atacube.statistics.sk/" TargetMode="External"/><Relationship Id="rId4" Type="http://schemas.openxmlformats.org/officeDocument/2006/relationships/hyperlink" Target="http://hdr.undp.org/en/statistics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Krišková Veronika</dc:creator>
  <cp:keywords/>
  <dc:description/>
  <cp:lastModifiedBy>Krišková Veronika</cp:lastModifiedBy>
  <cp:revision>2</cp:revision>
  <dcterms:created xsi:type="dcterms:W3CDTF">2023-10-04T11:45:00Z</dcterms:created>
  <dcterms:modified xsi:type="dcterms:W3CDTF">2023-10-06T10:56:00Z</dcterms:modified>
</cp:coreProperties>
</file>