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6E7" w:rsidRPr="000D0D18" w:rsidRDefault="009B36E7" w:rsidP="006325A0">
      <w:pPr>
        <w:pStyle w:val="Nadpis1"/>
      </w:pPr>
      <w:proofErr w:type="gramStart"/>
      <w:r w:rsidRPr="000D0D18">
        <w:t>METODICKÉ  VYSVETLIVKY</w:t>
      </w:r>
      <w:proofErr w:type="gramEnd"/>
      <w:r w:rsidR="004F7511">
        <w:t xml:space="preserve">  KU  KAPITOLE  1.</w:t>
      </w:r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7921B1" w:rsidRDefault="009B36E7" w:rsidP="008C739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ab/>
      </w:r>
      <w:r w:rsidRPr="007921B1">
        <w:rPr>
          <w:rFonts w:ascii="Arial" w:hAnsi="Arial" w:cs="Arial"/>
          <w:sz w:val="24"/>
          <w:lang w:val="sk-SK"/>
        </w:rPr>
        <w:t xml:space="preserve">Kapitola obsahuje údaje o stave, finančnom zabezpečení a činnostiach organizácií a pracovísk výskumu a vývoja (VV), o stave </w:t>
      </w:r>
      <w:r w:rsidR="003C19B1" w:rsidRPr="007921B1">
        <w:rPr>
          <w:rFonts w:ascii="Arial" w:hAnsi="Arial" w:cs="Arial"/>
          <w:sz w:val="24"/>
          <w:lang w:val="sk-SK"/>
        </w:rPr>
        <w:t>zamestnaných osôb</w:t>
      </w:r>
      <w:r w:rsidRPr="007921B1">
        <w:rPr>
          <w:rFonts w:ascii="Arial" w:hAnsi="Arial" w:cs="Arial"/>
          <w:sz w:val="24"/>
          <w:lang w:val="sk-SK"/>
        </w:rPr>
        <w:t>, ich štruktúre podľa pracovného zaradenia a kvalifikačnej úrovne, ktoré sú výsledkom spracovaní ročných podnikových</w:t>
      </w:r>
      <w:r w:rsidR="00C31787" w:rsidRPr="007921B1">
        <w:rPr>
          <w:rFonts w:ascii="Arial" w:hAnsi="Arial" w:cs="Arial"/>
          <w:sz w:val="24"/>
          <w:lang w:val="sk-SK"/>
        </w:rPr>
        <w:t xml:space="preserve"> výkazov o výskume a vývoji VV</w:t>
      </w:r>
      <w:r w:rsidRPr="007921B1">
        <w:rPr>
          <w:rFonts w:ascii="Arial" w:hAnsi="Arial" w:cs="Arial"/>
          <w:sz w:val="24"/>
          <w:lang w:val="sk-SK"/>
        </w:rPr>
        <w:t xml:space="preserve"> 6-01.</w:t>
      </w:r>
    </w:p>
    <w:p w:rsidR="009B36E7" w:rsidRPr="00241994" w:rsidRDefault="009B36E7" w:rsidP="000D0D18">
      <w:pPr>
        <w:ind w:left="0" w:firstLine="0"/>
        <w:rPr>
          <w:rFonts w:ascii="Arial" w:hAnsi="Arial" w:cs="Arial"/>
          <w:sz w:val="18"/>
          <w:lang w:val="sk-SK"/>
        </w:rPr>
      </w:pPr>
    </w:p>
    <w:p w:rsidR="009B36E7" w:rsidRPr="007921B1" w:rsidRDefault="000D0D18" w:rsidP="008C739F">
      <w:pPr>
        <w:tabs>
          <w:tab w:val="clear" w:pos="680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Pod pojmom </w:t>
      </w:r>
      <w:r w:rsidR="009B36E7" w:rsidRPr="007921B1">
        <w:rPr>
          <w:rFonts w:ascii="Arial" w:hAnsi="Arial" w:cs="Arial"/>
          <w:sz w:val="24"/>
          <w:u w:val="single"/>
          <w:lang w:val="sk-SK"/>
        </w:rPr>
        <w:t>organizácie a pracoviská výskumu a vývoja</w:t>
      </w:r>
      <w:r w:rsidR="009B36E7" w:rsidRPr="007921B1">
        <w:rPr>
          <w:rFonts w:ascii="Arial" w:hAnsi="Arial" w:cs="Arial"/>
          <w:sz w:val="24"/>
          <w:lang w:val="sk-SK"/>
        </w:rPr>
        <w:t xml:space="preserve"> v tejto publikácii sa rozumejú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 xml:space="preserve">fyzické osoby </w:t>
      </w:r>
      <w:r w:rsidR="003C19B1" w:rsidRPr="007921B1">
        <w:rPr>
          <w:rFonts w:ascii="Arial" w:hAnsi="Arial" w:cs="Arial"/>
          <w:sz w:val="24"/>
          <w:lang w:val="sk-SK"/>
        </w:rPr>
        <w:t xml:space="preserve">vo </w:t>
      </w:r>
      <w:r w:rsidR="009B36E7" w:rsidRPr="007921B1">
        <w:rPr>
          <w:rFonts w:ascii="Arial" w:hAnsi="Arial" w:cs="Arial"/>
          <w:sz w:val="24"/>
          <w:lang w:val="sk-SK"/>
        </w:rPr>
        <w:t>výskum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a vývoj</w:t>
      </w:r>
      <w:r w:rsidR="003C19B1" w:rsidRPr="007921B1">
        <w:rPr>
          <w:rFonts w:ascii="Arial" w:hAnsi="Arial" w:cs="Arial"/>
          <w:sz w:val="24"/>
          <w:lang w:val="sk-SK"/>
        </w:rPr>
        <w:t>i</w:t>
      </w:r>
      <w:r w:rsidR="009B36E7" w:rsidRPr="007921B1">
        <w:rPr>
          <w:rFonts w:ascii="Arial" w:hAnsi="Arial" w:cs="Arial"/>
          <w:sz w:val="24"/>
          <w:lang w:val="sk-SK"/>
        </w:rPr>
        <w:t>, ktoré poskytovali údaje. Sú to: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>samostatné organizácie VV, t.</w:t>
      </w:r>
      <w:r w:rsidR="001E1325">
        <w:rPr>
          <w:rFonts w:ascii="Arial" w:hAnsi="Arial" w:cs="Arial"/>
          <w:sz w:val="24"/>
          <w:lang w:val="sk-SK"/>
        </w:rPr>
        <w:t> </w:t>
      </w:r>
      <w:r w:rsidRPr="007921B1">
        <w:rPr>
          <w:rFonts w:ascii="Arial" w:hAnsi="Arial" w:cs="Arial"/>
          <w:sz w:val="24"/>
          <w:lang w:val="sk-SK"/>
        </w:rPr>
        <w:t>j.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sz w:val="24"/>
          <w:lang w:val="sk-SK"/>
        </w:rPr>
        <w:t xml:space="preserve">fyzické osoby, ktorých prevažujúca </w:t>
      </w:r>
      <w:r>
        <w:rPr>
          <w:rFonts w:ascii="Arial" w:hAnsi="Arial" w:cs="Arial"/>
          <w:sz w:val="24"/>
          <w:lang w:val="sk-SK"/>
        </w:rPr>
        <w:t>činnosť je výskum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 (podľa Štatistickej odvetvovej klasifikácie ekonomických činností);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nesamostatné pracoviská výskumu a vývoja, t.</w:t>
      </w:r>
      <w:r w:rsidR="001E1325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j. právnické osoby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fyzické osoby, ktorých prevažujúca činnosť je iná ako výskum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vývoj, ale ich výskumný a vývojový potenciál v prepočte cez ekvivalent plného pracovného času (FTE) predstavuje aspoň jeden človekorok.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rPr>
          <w:rFonts w:ascii="Arial" w:hAnsi="Arial" w:cs="Arial"/>
          <w:sz w:val="18"/>
          <w:lang w:val="sk-SK"/>
        </w:rPr>
      </w:pPr>
    </w:p>
    <w:p w:rsidR="009B36E7" w:rsidRPr="000D0D18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0D0D18">
        <w:rPr>
          <w:rFonts w:ascii="Arial" w:hAnsi="Arial" w:cs="Arial"/>
          <w:sz w:val="24"/>
          <w:lang w:val="sk-SK"/>
        </w:rPr>
        <w:tab/>
        <w:t>Do činností výskumu a vývoja (ďalej VV) sú zahrnuté: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základný výskum - je systematická činnosť, ktorej prioritným cieľom je rozšírenie poznatkov o skúmanom objekte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ich hlbšie pochopenie bez ohľadu na praktické aplikácie získaných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aplikovaný výskum - je systematická činnosť orientovaná na praktické využitie poznatkov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objavovanie nových vedeckých poznatkov s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cieľom využiť ich v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hospodárskej a spoločenskej oblasti;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vývoj - je systematické využívanie vedeckých poznatkov zamerané na výrobu úžitkových materiálov, zariadení, systémov, metód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procesov vrátane konštrukcie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vývoja prototypov.</w:t>
      </w:r>
    </w:p>
    <w:p w:rsidR="009B36E7" w:rsidRPr="00241994" w:rsidRDefault="009B36E7" w:rsidP="009B36E7">
      <w:pPr>
        <w:rPr>
          <w:rFonts w:ascii="Arial" w:hAnsi="Arial" w:cs="Arial"/>
          <w:sz w:val="18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  <w:t>Organizácie VV sú podľa metodiky OECD začlenené do nasledujúcich sektorov: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podnikateľský sektor</w:t>
      </w:r>
      <w:r>
        <w:rPr>
          <w:rFonts w:ascii="Arial" w:hAnsi="Arial" w:cs="Arial"/>
          <w:sz w:val="24"/>
          <w:lang w:val="sk-SK"/>
        </w:rPr>
        <w:t>, sem patria firmy, organizácie a inštitúcie, ktorých hlavná činnosť je zameraná na výrobu výrobkov a poskytovanie služieb pre trh s cieľom zisku; zárobkové výskumné a vývojové organizácie, neziskové organizácie, ktoré poskytujú služby hlavne pre podnikateľský sektor;</w:t>
      </w:r>
    </w:p>
    <w:p w:rsidR="009B36E7" w:rsidRPr="007921B1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vládny</w:t>
      </w:r>
      <w:r w:rsidR="009B36E7" w:rsidRPr="007921B1">
        <w:rPr>
          <w:rFonts w:ascii="Arial" w:hAnsi="Arial" w:cs="Arial"/>
          <w:b/>
          <w:sz w:val="24"/>
          <w:lang w:val="sk-SK"/>
        </w:rPr>
        <w:t xml:space="preserve"> sektor</w:t>
      </w:r>
      <w:r w:rsidR="009B36E7" w:rsidRPr="007921B1">
        <w:rPr>
          <w:rFonts w:ascii="Arial" w:hAnsi="Arial" w:cs="Arial"/>
          <w:sz w:val="24"/>
          <w:lang w:val="sk-SK"/>
        </w:rPr>
        <w:t>, sem patria orgány a inštitúcie, ktoré poskytujú verejné služby, ktoré nemôžu z ekonomických dôvodov poskytovať iné štátom spravované organizácie a</w:t>
      </w:r>
      <w:r w:rsidR="00241994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neziskové inštitúcie, spravované a prevažne financované štátom, t.</w:t>
      </w:r>
      <w:r w:rsidR="005E7D25">
        <w:rPr>
          <w:rFonts w:ascii="Arial" w:hAnsi="Arial" w:cs="Arial"/>
          <w:sz w:val="24"/>
          <w:lang w:val="sk-SK"/>
        </w:rPr>
        <w:t> </w:t>
      </w:r>
      <w:r w:rsidR="009B36E7" w:rsidRPr="007921B1">
        <w:rPr>
          <w:rFonts w:ascii="Arial" w:hAnsi="Arial" w:cs="Arial"/>
          <w:sz w:val="24"/>
          <w:lang w:val="sk-SK"/>
        </w:rPr>
        <w:t>j. rozpočtové organizácie;</w:t>
      </w:r>
    </w:p>
    <w:p w:rsidR="009B36E7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vysokoškolský sektor</w:t>
      </w:r>
      <w:r w:rsidR="009B36E7" w:rsidRPr="007921B1">
        <w:rPr>
          <w:rFonts w:ascii="Arial" w:hAnsi="Arial" w:cs="Arial"/>
          <w:sz w:val="24"/>
          <w:lang w:val="sk-SK"/>
        </w:rPr>
        <w:t xml:space="preserve">, patria sem vysoké školy, univerzity a ďalšie organizácie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nadmaturitného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vzdelávania bez ohľadu na zdroj ich financovania a ich právny štatút (aj </w:t>
      </w:r>
      <w:r w:rsidR="009B36E7">
        <w:rPr>
          <w:rFonts w:ascii="Arial" w:hAnsi="Arial" w:cs="Arial"/>
          <w:sz w:val="24"/>
          <w:lang w:val="sk-SK"/>
        </w:rPr>
        <w:t>všetky inštitúcie spravované vysokými školami alebo s nimi spojené</w:t>
      </w:r>
      <w:r w:rsidR="0027020C" w:rsidRPr="00216466">
        <w:rPr>
          <w:rFonts w:ascii="Arial" w:hAnsi="Arial" w:cs="Arial"/>
          <w:sz w:val="24"/>
          <w:lang w:val="sk-SK"/>
        </w:rPr>
        <w:t>, napr.</w:t>
      </w:r>
      <w:r w:rsidR="009C5E4A" w:rsidRPr="00216466">
        <w:rPr>
          <w:rFonts w:ascii="Arial" w:hAnsi="Arial" w:cs="Arial"/>
          <w:sz w:val="24"/>
          <w:lang w:val="sk-SK"/>
        </w:rPr>
        <w:t xml:space="preserve"> univerzitné nemoc</w:t>
      </w:r>
      <w:r w:rsidR="0027020C" w:rsidRPr="00216466">
        <w:rPr>
          <w:rFonts w:ascii="Arial" w:hAnsi="Arial" w:cs="Arial"/>
          <w:sz w:val="24"/>
          <w:lang w:val="sk-SK"/>
        </w:rPr>
        <w:t>nice)</w:t>
      </w:r>
      <w:r w:rsidR="009B36E7">
        <w:rPr>
          <w:rFonts w:ascii="Arial" w:hAnsi="Arial" w:cs="Arial"/>
          <w:sz w:val="24"/>
          <w:lang w:val="sk-SK"/>
        </w:rPr>
        <w:t>.</w:t>
      </w:r>
    </w:p>
    <w:p w:rsidR="00BD72B3" w:rsidRDefault="00BD72B3" w:rsidP="00BD72B3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súkromný neziskový sektor</w:t>
      </w:r>
      <w:r>
        <w:rPr>
          <w:rFonts w:ascii="Arial" w:hAnsi="Arial" w:cs="Arial"/>
          <w:sz w:val="24"/>
          <w:lang w:val="sk-SK"/>
        </w:rPr>
        <w:t>, patria sem netrhové, neziskové inštitúcie a neziskové súkromné osoby;</w:t>
      </w:r>
    </w:p>
    <w:p w:rsidR="009B36E7" w:rsidRPr="00241994" w:rsidRDefault="009B36E7" w:rsidP="00BD72B3">
      <w:pPr>
        <w:ind w:left="0" w:firstLine="0"/>
        <w:rPr>
          <w:rFonts w:ascii="Arial" w:hAnsi="Arial" w:cs="Arial"/>
          <w:sz w:val="18"/>
          <w:lang w:val="sk-SK"/>
        </w:rPr>
      </w:pPr>
    </w:p>
    <w:p w:rsidR="00BD72B3" w:rsidRDefault="00BD72B3" w:rsidP="00BD72B3">
      <w:pPr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Pod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a zmeny metodiky uvedenej vo </w:t>
      </w:r>
      <w:proofErr w:type="spellStart"/>
      <w:r w:rsidRPr="007921B1">
        <w:rPr>
          <w:rFonts w:ascii="Arial" w:hAnsi="Arial" w:cs="Arial"/>
          <w:sz w:val="24"/>
          <w:lang w:val="sk-SK"/>
        </w:rPr>
        <w:t>Frascati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manuáli 2015 od roku 2016 sa nahradil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 zamestnanci výskumu a vývoja (zah</w:t>
      </w:r>
      <w:r w:rsidRPr="007921B1">
        <w:rPr>
          <w:rFonts w:ascii="Arial" w:hAnsi="Arial" w:cs="Arial" w:hint="eastAsia"/>
          <w:sz w:val="24"/>
          <w:lang w:val="sk-SK"/>
        </w:rPr>
        <w:t>ŕň</w:t>
      </w:r>
      <w:r w:rsidRPr="007921B1">
        <w:rPr>
          <w:rFonts w:ascii="Arial" w:hAnsi="Arial" w:cs="Arial"/>
          <w:sz w:val="24"/>
          <w:lang w:val="sk-SK"/>
        </w:rPr>
        <w:t>ajúci aj študentov doktorandského štúdia) novým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om </w:t>
      </w:r>
      <w:r w:rsidRPr="007921B1">
        <w:rPr>
          <w:rFonts w:ascii="Arial" w:hAnsi="Arial" w:cs="Arial"/>
          <w:b/>
          <w:sz w:val="24"/>
          <w:lang w:val="sk-SK"/>
        </w:rPr>
        <w:t>zamestnané osoby vo výskume a vývoji</w:t>
      </w:r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216466">
        <w:rPr>
          <w:rFonts w:ascii="Arial" w:hAnsi="Arial" w:cs="Arial"/>
          <w:sz w:val="24"/>
          <w:lang w:val="sk-SK"/>
        </w:rPr>
        <w:t xml:space="preserve">Ďalšia zmena metodiky </w:t>
      </w:r>
      <w:r>
        <w:rPr>
          <w:rFonts w:ascii="Arial" w:hAnsi="Arial" w:cs="Arial"/>
          <w:sz w:val="24"/>
          <w:lang w:val="sk-SK"/>
        </w:rPr>
        <w:t xml:space="preserve">je </w:t>
      </w:r>
      <w:r w:rsidRPr="00216466">
        <w:rPr>
          <w:rFonts w:ascii="Arial" w:hAnsi="Arial" w:cs="Arial"/>
          <w:sz w:val="24"/>
          <w:lang w:val="sk-SK"/>
        </w:rPr>
        <w:t>od r. 2018 v obsahu ukazovateľa zamestnané osoby vo výskume a vývoji vo fyzických osobách, zahŕňa celkový počet zamestnaných osôb vo VV počas sledovaného roka, predtým zahŕňal počet zamestnaných osôb vo VV ku koncu referenčného roka (stav k 31. 12.).</w:t>
      </w:r>
    </w:p>
    <w:p w:rsidR="00BD72B3" w:rsidRPr="007921B1" w:rsidRDefault="00BD72B3" w:rsidP="007921B1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lastRenderedPageBreak/>
        <w:tab/>
      </w:r>
      <w:r w:rsidRPr="007921B1">
        <w:rPr>
          <w:rFonts w:ascii="Arial" w:hAnsi="Arial" w:cs="Arial"/>
          <w:b/>
          <w:sz w:val="24"/>
          <w:lang w:val="sk-SK"/>
        </w:rPr>
        <w:t>Zamestnané osoby vo VV</w:t>
      </w:r>
      <w:r w:rsidRPr="007921B1">
        <w:rPr>
          <w:rFonts w:ascii="Arial" w:hAnsi="Arial" w:cs="Arial"/>
          <w:sz w:val="24"/>
          <w:lang w:val="sk-SK"/>
        </w:rPr>
        <w:t xml:space="preserve"> sú osoby pracujúce priamo vo výskume a vývoji, ako aj osoby poskytujúce priame služby výskumu a vývoju. V rozsahu vykonávania výskumnej a vývojovej 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innosti, resp. priamych služieb VV sa do po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tu zamestnaných osôb vo VV zapo</w:t>
      </w:r>
      <w:r w:rsidRPr="007921B1">
        <w:rPr>
          <w:rFonts w:ascii="Arial" w:hAnsi="Arial" w:cs="Arial" w:hint="eastAsia"/>
          <w:sz w:val="24"/>
          <w:lang w:val="sk-SK"/>
        </w:rPr>
        <w:t>čí</w:t>
      </w:r>
      <w:r w:rsidRPr="007921B1">
        <w:rPr>
          <w:rFonts w:ascii="Arial" w:hAnsi="Arial" w:cs="Arial"/>
          <w:sz w:val="24"/>
          <w:lang w:val="sk-SK"/>
        </w:rPr>
        <w:t>tavajú zamestnanci VV, pedagógovia vysokých škôl, zdravotnícki zamestnanci, zamestnanci prototypových dielní, zamestnanci prijatí na študijný pobyt, pracujúci majitelia a neplatení rodinní príslušníci, externí pracovníci a študenti doktorandského štúdia.</w:t>
      </w: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Nezahŕňajú sa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="009B36E7" w:rsidRPr="007921B1">
        <w:rPr>
          <w:rFonts w:ascii="Arial" w:hAnsi="Arial" w:cs="Arial"/>
          <w:sz w:val="24"/>
          <w:lang w:val="sk-SK"/>
        </w:rPr>
        <w:t>poskytujúc</w:t>
      </w:r>
      <w:r w:rsidR="007921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nepriame služby a to zamestnanci výkonného aparátu SAV, nakladateľstiev a predajní SAV, výpočtových stredísk rutinného charakteru, bezpečnostnej služby, závodných jedální, upratovačky, vodiči a údržbári.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rFonts w:ascii="Arial" w:hAnsi="Arial" w:cs="Arial"/>
          <w:sz w:val="24"/>
          <w:lang w:val="sk-SK"/>
        </w:rPr>
      </w:pP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</w:t>
      </w:r>
      <w:r w:rsidR="009B36E7" w:rsidRPr="007921B1">
        <w:rPr>
          <w:rFonts w:ascii="Arial" w:hAnsi="Arial" w:cs="Arial"/>
          <w:sz w:val="24"/>
          <w:lang w:val="sk-SK"/>
        </w:rPr>
        <w:t>VV sa vykazujú okrem fyzických osôb</w:t>
      </w:r>
      <w:r w:rsidR="00A623E0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aj</w:t>
      </w:r>
      <w:r w:rsidR="00E10F24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 xml:space="preserve">v prepočte na ekvivalent plnej pracovnej doby (FTE -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Full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time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equivalent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>) v</w:t>
      </w:r>
      <w:r w:rsidR="00C31787" w:rsidRPr="007921B1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človekorokoch. FTE za</w:t>
      </w:r>
      <w:r w:rsidR="00CC1F6A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zamestnanca sa vypočítava podľa nasledujúceho vzorca: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  <w:lang w:val="sk-SK"/>
        </w:rPr>
      </w:pPr>
      <w:r>
        <w:rPr>
          <w:rFonts w:ascii="Arial" w:hAnsi="Arial" w:cs="Arial"/>
          <w:sz w:val="24"/>
          <w:u w:val="single"/>
          <w:lang w:val="sk-SK"/>
        </w:rPr>
        <w:t>súčet odpracovaných hodín venovaných VV činnosti v sledovanom roku</w:t>
      </w:r>
    </w:p>
    <w:p w:rsidR="009B36E7" w:rsidRDefault="009B36E7" w:rsidP="009B36E7">
      <w:pPr>
        <w:jc w:val="center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kde 2000 znamená ročnú pracovnú kapacitu zamestnanca v hodinách.</w:t>
      </w:r>
    </w:p>
    <w:p w:rsidR="003C19B1" w:rsidRDefault="003C19B1" w:rsidP="009B36E7">
      <w:pPr>
        <w:spacing w:before="120"/>
        <w:rPr>
          <w:rFonts w:ascii="Arial" w:hAnsi="Arial" w:cs="Arial"/>
          <w:sz w:val="24"/>
          <w:lang w:val="sk-SK"/>
        </w:rPr>
      </w:pPr>
    </w:p>
    <w:p w:rsidR="003C19B1" w:rsidRPr="007921B1" w:rsidRDefault="003C19B1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Za ostatných pracovníkov vo VV sa uvádzajú odpra</w:t>
      </w:r>
      <w:r w:rsidR="00331614" w:rsidRPr="007921B1">
        <w:rPr>
          <w:rFonts w:ascii="Arial" w:hAnsi="Arial" w:cs="Arial"/>
          <w:sz w:val="24"/>
          <w:lang w:val="sk-SK"/>
        </w:rPr>
        <w:t>cované hodiny vo výskume vývoji, ktoré</w:t>
      </w:r>
      <w:r w:rsidRPr="007921B1">
        <w:rPr>
          <w:rFonts w:ascii="Arial" w:hAnsi="Arial" w:cs="Arial"/>
          <w:sz w:val="24"/>
          <w:lang w:val="sk-SK"/>
        </w:rPr>
        <w:t xml:space="preserve"> sú následne prepočítané na FTE. </w:t>
      </w:r>
    </w:p>
    <w:p w:rsidR="009B36E7" w:rsidRPr="007921B1" w:rsidRDefault="009B36E7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VV </w:t>
      </w:r>
      <w:r w:rsidRPr="007921B1">
        <w:rPr>
          <w:rFonts w:ascii="Arial" w:hAnsi="Arial" w:cs="Arial"/>
          <w:sz w:val="24"/>
          <w:lang w:val="sk-SK"/>
        </w:rPr>
        <w:t>sa podľa profesijného zamerania členia na:</w:t>
      </w:r>
    </w:p>
    <w:p w:rsidR="009B36E7" w:rsidRPr="007921B1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výskumníkov</w:t>
      </w:r>
      <w:r w:rsidRPr="007921B1">
        <w:rPr>
          <w:rFonts w:ascii="Arial" w:hAnsi="Arial" w:cs="Arial"/>
          <w:sz w:val="24"/>
          <w:lang w:val="sk-SK"/>
        </w:rPr>
        <w:t xml:space="preserve">, do tejto kategórie sa zaraďujú </w:t>
      </w:r>
      <w:r w:rsidR="003C19B1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>, kto</w:t>
      </w:r>
      <w:r w:rsidR="003C19B1" w:rsidRPr="007921B1">
        <w:rPr>
          <w:rFonts w:ascii="Arial" w:hAnsi="Arial" w:cs="Arial"/>
          <w:sz w:val="24"/>
          <w:lang w:val="sk-SK"/>
        </w:rPr>
        <w:t>ré</w:t>
      </w:r>
      <w:r w:rsidRPr="007921B1">
        <w:rPr>
          <w:rFonts w:ascii="Arial" w:hAnsi="Arial" w:cs="Arial"/>
          <w:sz w:val="24"/>
          <w:lang w:val="sk-SK"/>
        </w:rPr>
        <w:t xml:space="preserve"> majú rozhodujúci význam pre tvorbu a spoločenské využitie vedeckých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technikov a ekvivalentný personál</w:t>
      </w:r>
      <w:r w:rsidRPr="007921B1">
        <w:rPr>
          <w:rFonts w:ascii="Arial" w:hAnsi="Arial" w:cs="Arial"/>
          <w:sz w:val="24"/>
          <w:lang w:val="sk-SK"/>
        </w:rPr>
        <w:t xml:space="preserve">, patria sem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Pr="007921B1">
        <w:rPr>
          <w:rFonts w:ascii="Arial" w:hAnsi="Arial" w:cs="Arial"/>
          <w:sz w:val="24"/>
          <w:lang w:val="sk-SK"/>
        </w:rPr>
        <w:t>podieľajúc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na </w:t>
      </w:r>
      <w:r w:rsidR="003C19B1" w:rsidRPr="007921B1">
        <w:rPr>
          <w:rFonts w:ascii="Arial" w:hAnsi="Arial" w:cs="Arial"/>
          <w:sz w:val="24"/>
          <w:lang w:val="sk-SK"/>
        </w:rPr>
        <w:t xml:space="preserve">VV </w:t>
      </w:r>
      <w:r>
        <w:rPr>
          <w:rFonts w:ascii="Arial" w:hAnsi="Arial" w:cs="Arial"/>
          <w:sz w:val="24"/>
          <w:lang w:val="sk-SK"/>
        </w:rPr>
        <w:t>projektoch vykonávaním vedeckých a technických úloh spravidla pod kontrolou výskumníkov;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pomocný personál</w:t>
      </w:r>
      <w:r w:rsidRPr="007921B1">
        <w:rPr>
          <w:rFonts w:ascii="Arial" w:hAnsi="Arial" w:cs="Arial"/>
          <w:sz w:val="24"/>
          <w:lang w:val="sk-SK"/>
        </w:rPr>
        <w:t xml:space="preserve">, zahŕňajú sa sem kvalifikovaní </w:t>
      </w:r>
      <w:r w:rsidR="00331614" w:rsidRPr="007921B1">
        <w:rPr>
          <w:rFonts w:ascii="Arial" w:hAnsi="Arial" w:cs="Arial"/>
          <w:sz w:val="24"/>
          <w:lang w:val="sk-SK"/>
        </w:rPr>
        <w:t xml:space="preserve">alebo nekvalifikovaný </w:t>
      </w:r>
      <w:r w:rsidRPr="007921B1">
        <w:rPr>
          <w:rFonts w:ascii="Arial" w:hAnsi="Arial" w:cs="Arial"/>
          <w:sz w:val="24"/>
          <w:lang w:val="sk-SK"/>
        </w:rPr>
        <w:t>remeselníci, sekretárky a ostatn</w:t>
      </w:r>
      <w:r w:rsidR="00331614" w:rsidRPr="007921B1">
        <w:rPr>
          <w:rFonts w:ascii="Arial" w:hAnsi="Arial" w:cs="Arial"/>
          <w:sz w:val="24"/>
          <w:lang w:val="sk-SK"/>
        </w:rPr>
        <w:t>é</w:t>
      </w:r>
      <w:r w:rsidRPr="007921B1">
        <w:rPr>
          <w:rFonts w:ascii="Arial" w:hAnsi="Arial" w:cs="Arial"/>
          <w:sz w:val="24"/>
          <w:lang w:val="sk-SK"/>
        </w:rPr>
        <w:t xml:space="preserve"> </w:t>
      </w:r>
      <w:r w:rsidR="00331614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 xml:space="preserve"> zúčastňujúc</w:t>
      </w:r>
      <w:r w:rsidR="00331614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prác na výskumných a vývojových projektoch. Patria sem ostatní manažéri a administratívni zamestnanci pre personálne a </w:t>
      </w:r>
      <w:r>
        <w:rPr>
          <w:rFonts w:ascii="Arial" w:hAnsi="Arial" w:cs="Arial"/>
          <w:sz w:val="24"/>
          <w:lang w:val="sk-SK"/>
        </w:rPr>
        <w:t>finančné otázky, ktorých činnosti sú priamo službou výskumu.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31614" w:rsidRPr="007921B1">
        <w:rPr>
          <w:rFonts w:ascii="Arial" w:hAnsi="Arial" w:cs="Arial"/>
          <w:sz w:val="24"/>
          <w:lang w:val="sk-SK"/>
        </w:rPr>
        <w:t xml:space="preserve">Zamestnanci VV a študenti doktorandského štúdia </w:t>
      </w:r>
      <w:r w:rsidRPr="007921B1">
        <w:rPr>
          <w:rFonts w:ascii="Arial" w:hAnsi="Arial" w:cs="Arial"/>
          <w:sz w:val="24"/>
          <w:lang w:val="sk-SK"/>
        </w:rPr>
        <w:t xml:space="preserve">sa ďalej členia podľa stupňa najvyššieho </w:t>
      </w:r>
      <w:r>
        <w:rPr>
          <w:rFonts w:ascii="Arial" w:hAnsi="Arial" w:cs="Arial"/>
          <w:sz w:val="24"/>
          <w:lang w:val="sk-SK"/>
        </w:rPr>
        <w:t>dosiahnutého vzdelania nasledovne: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vysokoškolskou a vyššou kvalifikáciou</w:t>
      </w:r>
    </w:p>
    <w:p w:rsidR="009B36E7" w:rsidRDefault="009B36E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 tom:</w:t>
      </w:r>
      <w:r>
        <w:rPr>
          <w:rFonts w:ascii="Arial" w:hAnsi="Arial" w:cs="Arial"/>
          <w:sz w:val="24"/>
          <w:lang w:val="sk-SK"/>
        </w:rPr>
        <w:tab/>
        <w:t>-</w:t>
      </w:r>
      <w:r w:rsidR="00ED1C2D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1.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stupňa,</w:t>
      </w:r>
    </w:p>
    <w:p w:rsidR="009B36E7" w:rsidRDefault="008C739F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2.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stupňa,</w:t>
      </w:r>
    </w:p>
    <w:p w:rsidR="009B36E7" w:rsidRDefault="00C3178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1701" w:hanging="1134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3.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 (PhD.,</w:t>
      </w:r>
      <w:r w:rsidR="00925C6B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25C6B">
        <w:rPr>
          <w:rFonts w:ascii="Arial" w:hAnsi="Arial" w:cs="Arial"/>
          <w:sz w:val="24"/>
          <w:lang w:val="sk-SK"/>
        </w:rPr>
        <w:t>ArtD.,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CSc.,</w:t>
      </w:r>
      <w:r w:rsidR="00241994" w:rsidRPr="00241994">
        <w:rPr>
          <w:rFonts w:ascii="Arial" w:hAnsi="Arial" w:cs="Arial"/>
          <w:sz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Dr.,</w:t>
      </w:r>
      <w:r w:rsidR="00241994" w:rsidRPr="00241994">
        <w:rPr>
          <w:rFonts w:ascii="Arial" w:hAnsi="Arial" w:cs="Arial"/>
          <w:sz w:val="20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DrSc.,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doc.,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prof.)</w:t>
      </w:r>
    </w:p>
    <w:p w:rsidR="009B36E7" w:rsidRPr="009A6CF8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vyšším odborným vzdelaním</w:t>
      </w:r>
      <w:r w:rsidR="0027020C">
        <w:rPr>
          <w:rFonts w:ascii="Arial" w:hAnsi="Arial" w:cs="Arial"/>
          <w:sz w:val="24"/>
          <w:lang w:val="sk-SK"/>
        </w:rPr>
        <w:t xml:space="preserve"> 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stredoškolským vzdelaním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základným vzdelaním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>Výdavky na výskum a vývoj</w:t>
      </w:r>
      <w:r>
        <w:rPr>
          <w:rFonts w:ascii="Arial" w:hAnsi="Arial" w:cs="Arial"/>
          <w:sz w:val="24"/>
          <w:lang w:val="sk-SK"/>
        </w:rPr>
        <w:t xml:space="preserve"> zahŕňajú celkový objem výdavkov vynaložených v organizácii na aktivity VV, t.</w:t>
      </w:r>
      <w:r w:rsidR="008F51B2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j. sú to vnútorné výdavky. Zahŕňajú kapitálové a bežné výdavky. Z výdavkov vynaložených mimo organizácie sa sem zahŕňajú len tie, ktoré slúžia na podporu vnútorného výskumu a vývoja (napr. kúpa vybavenia pre VV). Odpisy budov, strojného technického zariadenia a vybavenia sú zo štatistického sledovania vnútorných výdavkov na VV vylúčené.</w:t>
      </w:r>
    </w:p>
    <w:p w:rsidR="009B36E7" w:rsidRDefault="009B36E7" w:rsidP="009B36E7">
      <w:pPr>
        <w:rPr>
          <w:rFonts w:ascii="Arial" w:hAnsi="Arial" w:cs="Arial"/>
          <w:sz w:val="24"/>
          <w:lang w:val="sk-SK"/>
        </w:rPr>
      </w:pPr>
    </w:p>
    <w:p w:rsidR="009B36E7" w:rsidRDefault="009B36E7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  <w:t>Výdavky na výskum a vývoj sa zisťujú aj podľa zdrojov financovania, sociálno-ekonomických cieľov a podľa činností výskumu a vývoja. Ďalej sa zisťuje aj financovanie pr</w:t>
      </w:r>
      <w:r w:rsidR="00925C6B">
        <w:rPr>
          <w:rFonts w:ascii="Arial" w:hAnsi="Arial" w:cs="Arial"/>
          <w:sz w:val="24"/>
          <w:lang w:val="sk-SK"/>
        </w:rPr>
        <w:t xml:space="preserve">ojektov výskumu a vývoja spolu a </w:t>
      </w:r>
      <w:r w:rsidRPr="008C739F">
        <w:rPr>
          <w:rFonts w:ascii="Arial" w:hAnsi="Arial" w:cs="Arial"/>
          <w:sz w:val="24"/>
          <w:lang w:val="sk-SK"/>
        </w:rPr>
        <w:t>zo štátneho rozpočtu.</w:t>
      </w:r>
    </w:p>
    <w:p w:rsidR="008C739F" w:rsidRPr="00C259B0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8"/>
          <w:lang w:val="sk-SK"/>
        </w:rPr>
      </w:pPr>
      <w:r w:rsidRPr="00C259B0">
        <w:rPr>
          <w:rFonts w:ascii="Arial" w:hAnsi="Arial" w:cs="Arial"/>
          <w:sz w:val="28"/>
          <w:lang w:val="sk-SK"/>
        </w:rPr>
        <w:br w:type="page"/>
      </w: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u w:val="single"/>
          <w:lang w:val="sk-SK"/>
        </w:rPr>
      </w:pPr>
      <w:r w:rsidRPr="00C259B0">
        <w:rPr>
          <w:rFonts w:ascii="Arial" w:hAnsi="Arial" w:cs="Arial"/>
          <w:sz w:val="28"/>
          <w:lang w:val="sk-SK"/>
        </w:rPr>
        <w:lastRenderedPageBreak/>
        <w:tab/>
      </w:r>
      <w:r w:rsidR="009B36E7" w:rsidRPr="008C739F">
        <w:rPr>
          <w:rFonts w:ascii="Arial" w:hAnsi="Arial" w:cs="Arial"/>
          <w:sz w:val="24"/>
          <w:u w:val="single"/>
          <w:lang w:val="sk-SK"/>
        </w:rPr>
        <w:t>Technologický sektor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Súčasná </w:t>
      </w:r>
      <w:r w:rsidR="009B36E7">
        <w:rPr>
          <w:rFonts w:ascii="Arial" w:hAnsi="Arial" w:cs="Arial"/>
          <w:sz w:val="24"/>
          <w:lang w:val="sk-SK"/>
        </w:rPr>
        <w:t xml:space="preserve">(revidovaná) </w:t>
      </w:r>
      <w:r w:rsidR="009B36E7" w:rsidRPr="00C0588F">
        <w:rPr>
          <w:rFonts w:ascii="Arial" w:hAnsi="Arial" w:cs="Arial"/>
          <w:sz w:val="24"/>
          <w:lang w:val="sk-SK"/>
        </w:rPr>
        <w:t>definícia technologických sektorov bola vytvorená v rámci štatistiky vedy, techniky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 xml:space="preserve">inovácií </w:t>
      </w:r>
      <w:proofErr w:type="spellStart"/>
      <w:r w:rsidR="009B36E7" w:rsidRPr="00C0588F">
        <w:rPr>
          <w:rFonts w:ascii="Arial" w:hAnsi="Arial" w:cs="Arial"/>
          <w:sz w:val="24"/>
          <w:lang w:val="sk-SK"/>
        </w:rPr>
        <w:t>Eurostatom</w:t>
      </w:r>
      <w:proofErr w:type="spellEnd"/>
      <w:r w:rsidR="009B36E7" w:rsidRPr="00C0588F">
        <w:rPr>
          <w:rFonts w:ascii="Arial" w:hAnsi="Arial" w:cs="Arial"/>
          <w:sz w:val="24"/>
          <w:lang w:val="sk-SK"/>
        </w:rPr>
        <w:t xml:space="preserve"> v spolupráci s OECD v roku 2008. 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Technologické sektory v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spracovateľskom priemysle sú agregované podľa technologickej náročnosti (výdavky na VV / pridaná hodnota) na základe štatistickej klasifikácie ekonomických činností v Európskom spoločenstve NACE Rev. 2. Odvetvia spracovateľského priemyslu sa klasifikujú do 4 technologických sektorov: vysoká technológia, stredne vysoká technológia, stredne nízka technológia a nízka technológia.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Služby sú rozdelené do 6 technologických sektorov, ktoré sú agregované do dvoch subsektorov - znalostne intenzívne služby a znalostne menej intenzívne služby. Znalostne intenzívne služby sa delia na znalostne intenzívne služby s vysokou technológiou, znalostne intenzívne trhové služby, znalostne intenzívne finančné služby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ostatné znalostne intenzívne služby. Medzi znalostne menej intenzívne služby patria znalostne menej intenzívne trhové služby a ostatné znalostne menej intenzívne služby.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Podrobné triedenie technologických sektorov </w:t>
      </w:r>
      <w:r w:rsidR="009B36E7">
        <w:rPr>
          <w:rFonts w:ascii="Arial" w:hAnsi="Arial" w:cs="Arial"/>
          <w:sz w:val="24"/>
          <w:lang w:val="sk-SK"/>
        </w:rPr>
        <w:t>podľa revidovanej definície OECD/Eurostatu je</w:t>
      </w:r>
      <w:r w:rsidR="009B36E7" w:rsidRPr="00C0588F">
        <w:rPr>
          <w:rFonts w:ascii="Arial" w:hAnsi="Arial" w:cs="Arial"/>
          <w:sz w:val="24"/>
          <w:lang w:val="sk-SK"/>
        </w:rPr>
        <w:t xml:space="preserve"> v nasledujúcej tabuľke: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426A3C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výroby podľa SK NACE Rev. 2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Vysoká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21 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základných farmaceutických výrobkov a farmaceut. prípravkov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26 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počítačových, elektronických a optických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vysoká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chemikálií a chemických produktov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zbraní a munície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27 až 29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elektrických zariadení; výroba strojov a zariadení </w:t>
            </w:r>
            <w:proofErr w:type="spellStart"/>
            <w:r w:rsidRPr="00FD1C7A">
              <w:rPr>
                <w:rFonts w:ascii="Arial" w:hAnsi="Arial" w:cs="Arial"/>
                <w:sz w:val="20"/>
                <w:lang w:val="sk-SK"/>
              </w:rPr>
              <w:t>i.n</w:t>
            </w:r>
            <w:proofErr w:type="spellEnd"/>
            <w:r w:rsidRPr="00FD1C7A">
              <w:rPr>
                <w:rFonts w:ascii="Arial" w:hAnsi="Arial" w:cs="Arial"/>
                <w:sz w:val="20"/>
                <w:lang w:val="sk-SK"/>
              </w:rPr>
              <w:t>.;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</w:r>
            <w:r w:rsidR="00B77D89">
              <w:rPr>
                <w:rFonts w:ascii="Arial" w:hAnsi="Arial" w:cs="Arial"/>
                <w:sz w:val="20"/>
                <w:lang w:val="sk-SK"/>
              </w:rPr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výroba motorových vozidiel, návesov a prívesov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ostatných dopravných prostriedkov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 člnov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 bez 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nízka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koksu a rafinovaných ropných produktov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24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výrobkov z gumy a plastu; výroba ostatných nekovových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minerálnych výrobkov; výroba a spracovanie kovov 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kovových konštrukcií okrem strojov a zariadení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zbraní a munície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 člnov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a inštalácia strojov a prístrojov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Nízka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 xml:space="preserve">17 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potravín; výroba nápojov; výroba tabakových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textilu; výroba odevov; výroba kože a kožených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spracovanie dreva a výroba výrobkov z dreva a korku okrem nábytku;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predmetov zo slamy a prúteného materiálu; výroba papiera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papierových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tlač a reprodukcia záznamových médií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nábytku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iná výroba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426A3C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Spracovateľský priemysel spolu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 až</w:t>
            </w:r>
            <w:r w:rsidRPr="00FD1C7A">
              <w:rPr>
                <w:sz w:val="20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</w:p>
        </w:tc>
      </w:tr>
    </w:tbl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9B36E7">
      <w:pPr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Cs w:val="24"/>
        </w:rPr>
        <w:br w:type="page"/>
      </w: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587D7D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lastRenderedPageBreak/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služieb podľa SK NACE Rev. 2</w:t>
            </w:r>
          </w:p>
        </w:tc>
      </w:tr>
      <w:tr w:rsidR="009B36E7" w:rsidRPr="00587D7D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 vysokou technológiou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59 až 63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filmov, videozáznamov a televíznych programov,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príprava a zverejňovanie zvukových nahrávok; činnosti pre rozhlasové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televízne vysielanie; telekomunikácie; počítačové programovanie,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poradenstvo a súvisiace služby; informačné služby </w:t>
            </w:r>
          </w:p>
        </w:tc>
      </w:tr>
      <w:tr w:rsidR="009B36E7" w:rsidRPr="00426A3C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vedecký výskum a vývoj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trhové služby</w:t>
            </w:r>
          </w:p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(bez služieb s vysokou technológiou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 finančného sprostredkovania)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vodná doprava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letecká doprava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právne a účtovnícke činnosti; vedenie firiem, poradenstvo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 oblasti riadenia; architektonické a inžinierske činnosti, 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testovanie analýzy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reklama a prieskum trhu; ostatné odborné, vedecké a 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sprostredkovanie práce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bezpečnostné a pátracie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Znalostne intenzívne finančné 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64 až 66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finančné služby okrem poistenia a dôchodkového zabezpečenia;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poistenie, zaistenie a dôchodkové zabezpečenie okrem povinného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sociálneho poistenia; pomocné činnosti finančných služieb a poistenia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Ostatné 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nakladateľské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veterinárne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verejná správa a obrana; povinné sociálne poistenie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8351D2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vzdelávanie; zdravotníctvo; starostlivos</w:t>
            </w:r>
            <w:r w:rsidR="008351D2">
              <w:rPr>
                <w:rFonts w:ascii="Arial" w:hAnsi="Arial" w:cs="Arial"/>
                <w:sz w:val="20"/>
                <w:lang w:val="sk-SK"/>
              </w:rPr>
              <w:t xml:space="preserve">ť v pobytových </w:t>
            </w:r>
            <w:proofErr w:type="spellStart"/>
            <w:r w:rsidR="008351D2">
              <w:rPr>
                <w:rFonts w:ascii="Arial" w:hAnsi="Arial" w:cs="Arial"/>
                <w:sz w:val="20"/>
                <w:lang w:val="sk-SK"/>
              </w:rPr>
              <w:t>zariade</w:t>
            </w:r>
            <w:proofErr w:type="spellEnd"/>
            <w:r w:rsidR="008351D2">
              <w:rPr>
                <w:rFonts w:ascii="Arial" w:hAnsi="Arial" w:cs="Arial"/>
                <w:sz w:val="20"/>
                <w:lang w:val="sk-SK"/>
              </w:rPr>
              <w:t>-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 </w:t>
            </w:r>
            <w:proofErr w:type="spellStart"/>
            <w:r w:rsidR="008351D2">
              <w:rPr>
                <w:rFonts w:ascii="Arial" w:hAnsi="Arial" w:cs="Arial"/>
                <w:sz w:val="20"/>
                <w:lang w:val="sk-SK"/>
              </w:rPr>
              <w:t>niach</w:t>
            </w:r>
            <w:proofErr w:type="spellEnd"/>
            <w:r w:rsidR="008351D2">
              <w:rPr>
                <w:rFonts w:ascii="Arial" w:hAnsi="Arial" w:cs="Arial"/>
                <w:sz w:val="20"/>
                <w:lang w:val="sk-SK"/>
              </w:rPr>
              <w:t xml:space="preserve"> (</w:t>
            </w:r>
            <w:r w:rsidRPr="00FD1C7A">
              <w:rPr>
                <w:rFonts w:ascii="Arial" w:hAnsi="Arial" w:cs="Arial"/>
                <w:sz w:val="20"/>
                <w:lang w:val="sk-SK"/>
              </w:rPr>
              <w:t>rezidenčná starostlivosť); sociálna práca bez ubytovania; tvorivé,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umelecké a zábavné činnosti; činnosti knižníc, archívov, múzeí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ostatných kultúrnych zariadení; činnosť herní a stávkových zariadení;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športové, zábavné a rekreačné činnosti</w:t>
            </w:r>
          </w:p>
        </w:tc>
      </w:tr>
      <w:tr w:rsidR="009B36E7" w:rsidRPr="00354E26" w:rsidTr="009B36E7">
        <w:trPr>
          <w:cantSplit/>
          <w:trHeight w:val="397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menej intenzívne služby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Znalostne menej intenzívne </w:t>
            </w:r>
          </w:p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  trhové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47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veľkoobchod a maloobchod a oprava motorových vozidiel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motocyklov; veľkoobchod okrem motorových vozidiel a motocyklov;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maloobchod okrem motorových vozidiel a motocyklov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pozemná doprava a doprava potrubím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skladové a pomocné činnosti v doprave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55 až 56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ubytovanie; činnosti reštaurácií a pohostinstiev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v oblasti nehnuteľností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prenájom a lízing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cestovných agentúr, rezervačné služby cestovných kancelárií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súvisiace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súvisiace s údržbou zariadení a krajinnou úpravou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administratívne, pomocné kancelárske a iné obchodné pomocné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počítačov, osobných potrieb pre domácnosti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Ostatné znalostne menej intenzívne </w:t>
            </w:r>
          </w:p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53 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poštové služby a služby kuriérov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členských organizácií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ostatné osobné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97 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domácností ako zamestnávateľov domáceho personálu;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nediferencované činnosti v domácnostiach produkujúce tovary a služby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na vlastné použitie; činnosti </w:t>
            </w:r>
            <w:proofErr w:type="spellStart"/>
            <w:r w:rsidRPr="00FD1C7A">
              <w:rPr>
                <w:rFonts w:ascii="Arial" w:hAnsi="Arial" w:cs="Arial"/>
                <w:sz w:val="20"/>
                <w:lang w:val="sk-SK"/>
              </w:rPr>
              <w:t>extrateritoriálnych</w:t>
            </w:r>
            <w:proofErr w:type="spellEnd"/>
            <w:r w:rsidRPr="00FD1C7A">
              <w:rPr>
                <w:rFonts w:ascii="Arial" w:hAnsi="Arial" w:cs="Arial"/>
                <w:sz w:val="20"/>
                <w:lang w:val="sk-SK"/>
              </w:rPr>
              <w:t xml:space="preserve"> organizácií a združení</w:t>
            </w:r>
          </w:p>
        </w:tc>
      </w:tr>
      <w:tr w:rsidR="009B36E7" w:rsidRPr="00354E26" w:rsidTr="009B36E7">
        <w:trPr>
          <w:cantSplit/>
          <w:trHeight w:hRule="exact" w:val="397"/>
        </w:trPr>
        <w:tc>
          <w:tcPr>
            <w:tcW w:w="340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Služby spolu</w:t>
            </w: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99</w:t>
            </w:r>
          </w:p>
        </w:tc>
      </w:tr>
    </w:tbl>
    <w:p w:rsidR="009B36E7" w:rsidRPr="008C739F" w:rsidRDefault="009B36E7" w:rsidP="006325A0">
      <w:pPr>
        <w:pStyle w:val="Nadpis1"/>
      </w:pPr>
      <w:r w:rsidRPr="00354E26">
        <w:rPr>
          <w:lang w:val="sk-SK"/>
        </w:rPr>
        <w:br w:type="page"/>
      </w:r>
      <w:proofErr w:type="gramStart"/>
      <w:r w:rsidRPr="008C739F">
        <w:lastRenderedPageBreak/>
        <w:t>METHODOLOGICAL  NOTES</w:t>
      </w:r>
      <w:proofErr w:type="gramEnd"/>
      <w:r w:rsidR="004F7511">
        <w:t xml:space="preserve">  TO  CHAPTER  1.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chapter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contains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data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on state,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financing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activities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Research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Development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(R&amp;D)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organisations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working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places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on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status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personnel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their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structure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occupation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qualification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which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are a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result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processing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annual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questionnaires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VV</w:t>
      </w:r>
      <w:r w:rsidR="0025525E">
        <w:rPr>
          <w:rFonts w:ascii="Arial" w:hAnsi="Arial" w:cs="Arial"/>
          <w:sz w:val="24"/>
          <w:lang w:val="sk-SK"/>
        </w:rPr>
        <w:t> </w:t>
      </w:r>
      <w:r w:rsidR="009B36E7" w:rsidRPr="008C739F">
        <w:rPr>
          <w:rFonts w:ascii="Arial" w:hAnsi="Arial" w:cs="Arial"/>
          <w:sz w:val="24"/>
          <w:lang w:val="sk-SK"/>
        </w:rPr>
        <w:t>6-01.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0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term of </w:t>
      </w:r>
      <w:r w:rsidR="009B36E7" w:rsidRPr="008C739F">
        <w:rPr>
          <w:rFonts w:ascii="Arial" w:hAnsi="Arial" w:cs="Arial"/>
          <w:sz w:val="24"/>
          <w:u w:val="single"/>
          <w:lang w:val="sk-SK"/>
        </w:rPr>
        <w:t xml:space="preserve">„R&amp;D </w:t>
      </w:r>
      <w:proofErr w:type="spellStart"/>
      <w:r w:rsidR="009B36E7" w:rsidRPr="008C739F">
        <w:rPr>
          <w:rFonts w:ascii="Arial" w:hAnsi="Arial" w:cs="Arial"/>
          <w:sz w:val="24"/>
          <w:u w:val="single"/>
          <w:lang w:val="sk-SK"/>
        </w:rPr>
        <w:t>organisations</w:t>
      </w:r>
      <w:proofErr w:type="spellEnd"/>
      <w:r w:rsidR="009B36E7" w:rsidRPr="008C739F">
        <w:rPr>
          <w:rFonts w:ascii="Arial" w:hAnsi="Arial" w:cs="Arial"/>
          <w:sz w:val="24"/>
          <w:u w:val="single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u w:val="single"/>
          <w:lang w:val="sk-SK"/>
        </w:rPr>
        <w:t>working</w:t>
      </w:r>
      <w:proofErr w:type="spellEnd"/>
      <w:r w:rsidR="009B36E7" w:rsidRPr="008C739F">
        <w:rPr>
          <w:rFonts w:ascii="Arial" w:hAnsi="Arial" w:cs="Arial"/>
          <w:sz w:val="24"/>
          <w:u w:val="single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u w:val="single"/>
          <w:lang w:val="sk-SK"/>
        </w:rPr>
        <w:t>places</w:t>
      </w:r>
      <w:proofErr w:type="spellEnd"/>
      <w:r w:rsidR="009B36E7" w:rsidRPr="008C739F">
        <w:rPr>
          <w:rFonts w:ascii="Arial" w:hAnsi="Arial" w:cs="Arial"/>
          <w:sz w:val="24"/>
          <w:u w:val="single"/>
          <w:lang w:val="sk-SK"/>
        </w:rPr>
        <w:t>“</w:t>
      </w:r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means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this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publication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legal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physical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entities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research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development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that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provided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data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They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following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: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Independent </w:t>
      </w:r>
      <w:r w:rsidR="0058129A" w:rsidRPr="0058129A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</w:rPr>
        <w:t xml:space="preserve">organisations having, </w:t>
      </w:r>
      <w:proofErr w:type="spellStart"/>
      <w:r>
        <w:rPr>
          <w:rFonts w:ascii="Arial" w:hAnsi="Arial" w:cs="Arial"/>
          <w:sz w:val="24"/>
        </w:rPr>
        <w:t>i</w:t>
      </w:r>
      <w:proofErr w:type="spellEnd"/>
      <w:r>
        <w:rPr>
          <w:rFonts w:ascii="Arial" w:hAnsi="Arial" w:cs="Arial"/>
          <w:sz w:val="24"/>
        </w:rPr>
        <w:t>.</w:t>
      </w:r>
      <w:r w:rsidR="006712A4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 xml:space="preserve">e. legal and physical entities with principal activity of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(according to the Statistical branch classification of economic activities);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Associated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working places, </w:t>
      </w:r>
      <w:proofErr w:type="spellStart"/>
      <w:r>
        <w:rPr>
          <w:rFonts w:ascii="Arial" w:hAnsi="Arial" w:cs="Arial"/>
          <w:sz w:val="24"/>
        </w:rPr>
        <w:t>i</w:t>
      </w:r>
      <w:proofErr w:type="spellEnd"/>
      <w:r>
        <w:rPr>
          <w:rFonts w:ascii="Arial" w:hAnsi="Arial" w:cs="Arial"/>
          <w:sz w:val="24"/>
        </w:rPr>
        <w:t>.</w:t>
      </w:r>
      <w:r w:rsidR="006712A4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 xml:space="preserve">e. legal and physical entities whose principal activity is different from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>
        <w:rPr>
          <w:rFonts w:ascii="Arial" w:hAnsi="Arial" w:cs="Arial"/>
          <w:sz w:val="24"/>
        </w:rPr>
        <w:t xml:space="preserve">, but their research and development potential represents, recalculated by the full time equivalent, at least one </w:t>
      </w:r>
      <w:proofErr w:type="gramStart"/>
      <w:r>
        <w:rPr>
          <w:rFonts w:ascii="Arial" w:hAnsi="Arial" w:cs="Arial"/>
          <w:sz w:val="24"/>
        </w:rPr>
        <w:t>man-year</w:t>
      </w:r>
      <w:proofErr w:type="gramEnd"/>
      <w:r>
        <w:rPr>
          <w:rFonts w:ascii="Arial" w:hAnsi="Arial" w:cs="Arial"/>
          <w:sz w:val="24"/>
        </w:rPr>
        <w:t>.</w:t>
      </w:r>
    </w:p>
    <w:p w:rsidR="009B36E7" w:rsidRPr="00241994" w:rsidRDefault="009B36E7" w:rsidP="00ED1C2D">
      <w:pPr>
        <w:spacing w:before="120"/>
        <w:ind w:left="567" w:hanging="283"/>
        <w:rPr>
          <w:rFonts w:ascii="Arial" w:hAnsi="Arial" w:cs="Arial"/>
          <w:sz w:val="20"/>
        </w:rPr>
      </w:pPr>
    </w:p>
    <w:p w:rsidR="009B36E7" w:rsidRPr="008C739F" w:rsidRDefault="008C739F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activities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include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>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Basic research – systematic activity which priority aim is to extend knowledge about a studied subject and its deepen understanding regardless practical applications of acquired knowledge;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Applied research - systematic activity oriented upon practical application of knowledge and the revealing of new scientific knowledge with the aim of its application in economic and social spheres;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Development - systematic utilisation of scientific knowledge oriented towards production of utility goods, devices, systems, methods and processes including design and development of prototypes.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</w:p>
    <w:p w:rsidR="009B36E7" w:rsidRPr="008C739F" w:rsidRDefault="009B36E7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organisations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Pr="008C739F">
        <w:rPr>
          <w:rFonts w:ascii="Arial" w:hAnsi="Arial" w:cs="Arial"/>
          <w:sz w:val="24"/>
          <w:lang w:val="sk-SK"/>
        </w:rPr>
        <w:t>according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OECD </w:t>
      </w:r>
      <w:proofErr w:type="spellStart"/>
      <w:r w:rsidRPr="008C739F">
        <w:rPr>
          <w:rFonts w:ascii="Arial" w:hAnsi="Arial" w:cs="Arial"/>
          <w:sz w:val="24"/>
          <w:lang w:val="sk-SK"/>
        </w:rPr>
        <w:t>methodology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broken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down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into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following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sectors</w:t>
      </w:r>
      <w:proofErr w:type="spellEnd"/>
      <w:r w:rsidRPr="008C739F">
        <w:rPr>
          <w:rFonts w:ascii="Arial" w:hAnsi="Arial" w:cs="Arial"/>
          <w:sz w:val="24"/>
          <w:lang w:val="sk-SK"/>
        </w:rPr>
        <w:t>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Business enterprise sector;</w:t>
      </w:r>
      <w:r>
        <w:rPr>
          <w:rFonts w:ascii="Arial" w:hAnsi="Arial" w:cs="Arial"/>
          <w:sz w:val="24"/>
        </w:rPr>
        <w:t xml:space="preserve"> firms, organisations and institutions, whose main activity is focused on the production of goods and services for market in order to reach profit; profit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institutions, non-profit institutions serving mainly for the business enterprise sector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Government sector;</w:t>
      </w:r>
      <w:r>
        <w:rPr>
          <w:rFonts w:ascii="Arial" w:hAnsi="Arial" w:cs="Arial"/>
          <w:sz w:val="24"/>
        </w:rPr>
        <w:t xml:space="preserve"> institutions and bodies rendering public services which due to economic reasons cannot be rendered by other organisations administered by the government and non-profit institutions administered and financed mainly by the government, </w:t>
      </w:r>
      <w:proofErr w:type="spellStart"/>
      <w:r>
        <w:rPr>
          <w:rFonts w:ascii="Arial" w:hAnsi="Arial" w:cs="Arial"/>
          <w:sz w:val="24"/>
        </w:rPr>
        <w:t>i</w:t>
      </w:r>
      <w:proofErr w:type="spellEnd"/>
      <w:r>
        <w:rPr>
          <w:rFonts w:ascii="Arial" w:hAnsi="Arial" w:cs="Arial"/>
          <w:sz w:val="24"/>
        </w:rPr>
        <w:t>.</w:t>
      </w:r>
      <w:r w:rsidR="0061779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e. budgetary organisations,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Higher education sector;</w:t>
      </w:r>
      <w:r>
        <w:rPr>
          <w:rFonts w:ascii="Arial" w:hAnsi="Arial" w:cs="Arial"/>
          <w:sz w:val="24"/>
        </w:rPr>
        <w:t xml:space="preserve"> universities and other organisations of the </w:t>
      </w:r>
      <w:proofErr w:type="spellStart"/>
      <w:r>
        <w:rPr>
          <w:rFonts w:ascii="Arial" w:hAnsi="Arial" w:cs="Arial"/>
          <w:sz w:val="24"/>
        </w:rPr>
        <w:t>post secondary</w:t>
      </w:r>
      <w:proofErr w:type="spellEnd"/>
      <w:r>
        <w:rPr>
          <w:rFonts w:ascii="Arial" w:hAnsi="Arial" w:cs="Arial"/>
          <w:sz w:val="24"/>
        </w:rPr>
        <w:t xml:space="preserve"> educational level regardless their source of funds and legal status (including all institutions administered by universities or linked to them</w:t>
      </w:r>
      <w:r w:rsidR="0027020C">
        <w:rPr>
          <w:rFonts w:ascii="Arial" w:hAnsi="Arial" w:cs="Arial"/>
          <w:sz w:val="24"/>
        </w:rPr>
        <w:t xml:space="preserve">, </w:t>
      </w:r>
      <w:r w:rsidR="0061779D" w:rsidRPr="0061779D">
        <w:rPr>
          <w:rFonts w:ascii="Arial" w:hAnsi="Arial" w:cs="Arial"/>
          <w:sz w:val="24"/>
        </w:rPr>
        <w:t>e</w:t>
      </w:r>
      <w:r w:rsidR="0027020C" w:rsidRPr="0061779D">
        <w:rPr>
          <w:rFonts w:ascii="Arial" w:hAnsi="Arial" w:cs="Arial"/>
          <w:sz w:val="24"/>
        </w:rPr>
        <w:t>.</w:t>
      </w:r>
      <w:r w:rsidR="006712A4">
        <w:rPr>
          <w:rFonts w:ascii="Arial" w:hAnsi="Arial" w:cs="Arial"/>
          <w:sz w:val="24"/>
        </w:rPr>
        <w:t> </w:t>
      </w:r>
      <w:r w:rsidR="0061779D" w:rsidRPr="0061779D">
        <w:rPr>
          <w:rFonts w:ascii="Arial" w:hAnsi="Arial" w:cs="Arial"/>
          <w:sz w:val="24"/>
        </w:rPr>
        <w:t>g</w:t>
      </w:r>
      <w:r w:rsidR="0027020C" w:rsidRPr="0061779D">
        <w:rPr>
          <w:rFonts w:ascii="Arial" w:hAnsi="Arial" w:cs="Arial"/>
          <w:sz w:val="24"/>
        </w:rPr>
        <w:t xml:space="preserve">. </w:t>
      </w:r>
      <w:r w:rsidR="0061779D" w:rsidRPr="0061779D">
        <w:rPr>
          <w:rFonts w:ascii="Arial" w:hAnsi="Arial" w:cs="Arial"/>
          <w:sz w:val="24"/>
        </w:rPr>
        <w:t>U</w:t>
      </w:r>
      <w:r w:rsidR="0027020C" w:rsidRPr="0061779D">
        <w:rPr>
          <w:rFonts w:ascii="Arial" w:hAnsi="Arial" w:cs="Arial"/>
          <w:sz w:val="24"/>
        </w:rPr>
        <w:t xml:space="preserve">niversity </w:t>
      </w:r>
      <w:r w:rsidR="0061779D" w:rsidRPr="0061779D">
        <w:rPr>
          <w:rFonts w:ascii="Arial" w:hAnsi="Arial" w:cs="Arial"/>
          <w:sz w:val="24"/>
        </w:rPr>
        <w:t>H</w:t>
      </w:r>
      <w:r w:rsidR="0027020C" w:rsidRPr="0061779D">
        <w:rPr>
          <w:rFonts w:ascii="Arial" w:hAnsi="Arial" w:cs="Arial"/>
          <w:sz w:val="24"/>
        </w:rPr>
        <w:t>ospitals</w:t>
      </w:r>
      <w:r>
        <w:rPr>
          <w:rFonts w:ascii="Arial" w:hAnsi="Arial" w:cs="Arial"/>
          <w:sz w:val="24"/>
        </w:rPr>
        <w:t>) belong here.</w:t>
      </w:r>
    </w:p>
    <w:p w:rsidR="00331614" w:rsidRDefault="00331614" w:rsidP="00331614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Private non-profit sector</w:t>
      </w:r>
      <w:r>
        <w:rPr>
          <w:rFonts w:ascii="Arial" w:hAnsi="Arial" w:cs="Arial"/>
          <w:sz w:val="24"/>
        </w:rPr>
        <w:t>; non-market, non-profit institutions and non-profit private persons belong here;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</w:p>
    <w:p w:rsidR="00331614" w:rsidRDefault="00331614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proofErr w:type="spellStart"/>
      <w:r w:rsidRPr="007921B1">
        <w:rPr>
          <w:rFonts w:ascii="Arial" w:hAnsi="Arial" w:cs="Arial"/>
          <w:sz w:val="24"/>
          <w:lang w:val="sk-SK"/>
        </w:rPr>
        <w:t>According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change in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methodology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given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Frascati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manual 2015 </w:t>
      </w:r>
      <w:proofErr w:type="spellStart"/>
      <w:r w:rsidRPr="007921B1">
        <w:rPr>
          <w:rFonts w:ascii="Arial" w:hAnsi="Arial" w:cs="Arial"/>
          <w:sz w:val="24"/>
          <w:lang w:val="sk-SK"/>
        </w:rPr>
        <w:t>since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2016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indicator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(</w:t>
      </w:r>
      <w:proofErr w:type="spellStart"/>
      <w:r w:rsidRPr="007921B1">
        <w:rPr>
          <w:rFonts w:ascii="Arial" w:hAnsi="Arial" w:cs="Arial"/>
          <w:sz w:val="24"/>
          <w:lang w:val="sk-SK"/>
        </w:rPr>
        <w:t>including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doctorate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students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) </w:t>
      </w:r>
      <w:proofErr w:type="spellStart"/>
      <w:r w:rsidRPr="007921B1">
        <w:rPr>
          <w:rFonts w:ascii="Arial" w:hAnsi="Arial" w:cs="Arial"/>
          <w:sz w:val="24"/>
          <w:lang w:val="sk-SK"/>
        </w:rPr>
        <w:t>was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replaced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indicator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b/>
          <w:sz w:val="24"/>
          <w:lang w:val="sk-SK"/>
        </w:rPr>
        <w:t xml:space="preserve">R&amp;D </w:t>
      </w:r>
      <w:proofErr w:type="spellStart"/>
      <w:r w:rsidRPr="007921B1">
        <w:rPr>
          <w:rFonts w:ascii="Arial" w:hAnsi="Arial" w:cs="Arial"/>
          <w:b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proofErr w:type="spellStart"/>
      <w:r w:rsidRPr="00216466">
        <w:rPr>
          <w:rFonts w:ascii="Arial" w:hAnsi="Arial" w:cs="Arial"/>
          <w:sz w:val="24"/>
          <w:lang w:val="sk-SK"/>
        </w:rPr>
        <w:t>Further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methodological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change </w:t>
      </w:r>
      <w:proofErr w:type="spellStart"/>
      <w:r>
        <w:rPr>
          <w:rFonts w:ascii="Arial" w:hAnsi="Arial" w:cs="Arial"/>
          <w:sz w:val="24"/>
          <w:lang w:val="sk-SK"/>
        </w:rPr>
        <w:t>is</w:t>
      </w:r>
      <w:proofErr w:type="spellEnd"/>
      <w:r>
        <w:rPr>
          <w:rFonts w:ascii="Arial" w:hAnsi="Arial" w:cs="Arial"/>
          <w:sz w:val="24"/>
          <w:lang w:val="sk-SK"/>
        </w:rPr>
        <w:t xml:space="preserve"> </w:t>
      </w:r>
      <w:r w:rsidRPr="00216466">
        <w:rPr>
          <w:rFonts w:ascii="Arial" w:hAnsi="Arial" w:cs="Arial"/>
          <w:sz w:val="24"/>
          <w:lang w:val="sk-SK"/>
        </w:rPr>
        <w:t xml:space="preserve">in 2018 in </w:t>
      </w:r>
      <w:proofErr w:type="spellStart"/>
      <w:r w:rsidRPr="00216466">
        <w:rPr>
          <w:rFonts w:ascii="Arial" w:hAnsi="Arial" w:cs="Arial"/>
          <w:sz w:val="24"/>
          <w:lang w:val="sk-SK"/>
        </w:rPr>
        <w:t>content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indicator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216466">
        <w:rPr>
          <w:rFonts w:ascii="Arial" w:hAnsi="Arial" w:cs="Arial"/>
          <w:sz w:val="24"/>
          <w:lang w:val="sk-SK"/>
        </w:rPr>
        <w:t>personnel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216466">
        <w:rPr>
          <w:rFonts w:ascii="Arial" w:hAnsi="Arial" w:cs="Arial"/>
          <w:sz w:val="24"/>
          <w:lang w:val="sk-SK"/>
        </w:rPr>
        <w:t>head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counts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216466">
        <w:rPr>
          <w:rFonts w:ascii="Arial" w:hAnsi="Arial" w:cs="Arial"/>
          <w:sz w:val="24"/>
          <w:lang w:val="sk-SK"/>
        </w:rPr>
        <w:t>it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includes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total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number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216466">
        <w:rPr>
          <w:rFonts w:ascii="Arial" w:hAnsi="Arial" w:cs="Arial"/>
          <w:sz w:val="24"/>
          <w:lang w:val="sk-SK"/>
        </w:rPr>
        <w:t>persons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engaged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in R&amp;D </w:t>
      </w:r>
      <w:proofErr w:type="spellStart"/>
      <w:r w:rsidRPr="00216466">
        <w:rPr>
          <w:rFonts w:ascii="Arial" w:hAnsi="Arial" w:cs="Arial"/>
          <w:sz w:val="24"/>
          <w:lang w:val="sk-SK"/>
        </w:rPr>
        <w:t>during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reference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year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216466">
        <w:rPr>
          <w:rFonts w:ascii="Arial" w:hAnsi="Arial" w:cs="Arial"/>
          <w:sz w:val="24"/>
          <w:lang w:val="sk-SK"/>
        </w:rPr>
        <w:t>before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number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216466">
        <w:rPr>
          <w:rFonts w:ascii="Arial" w:hAnsi="Arial" w:cs="Arial"/>
          <w:sz w:val="24"/>
          <w:lang w:val="sk-SK"/>
        </w:rPr>
        <w:t>persons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engaged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in R&amp;D at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end of </w:t>
      </w:r>
      <w:proofErr w:type="spellStart"/>
      <w:r w:rsidRPr="00216466">
        <w:rPr>
          <w:rFonts w:ascii="Arial" w:hAnsi="Arial" w:cs="Arial"/>
          <w:sz w:val="24"/>
          <w:lang w:val="sk-SK"/>
        </w:rPr>
        <w:t>the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reference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216466">
        <w:rPr>
          <w:rFonts w:ascii="Arial" w:hAnsi="Arial" w:cs="Arial"/>
          <w:sz w:val="24"/>
          <w:lang w:val="sk-SK"/>
        </w:rPr>
        <w:t>year</w:t>
      </w:r>
      <w:proofErr w:type="spellEnd"/>
      <w:r w:rsidRPr="00216466">
        <w:rPr>
          <w:rFonts w:ascii="Arial" w:hAnsi="Arial" w:cs="Arial"/>
          <w:sz w:val="24"/>
          <w:lang w:val="sk-SK"/>
        </w:rPr>
        <w:t xml:space="preserve"> (as of December 31). </w:t>
      </w:r>
    </w:p>
    <w:p w:rsidR="00331614" w:rsidRPr="007921B1" w:rsidRDefault="00331614" w:rsidP="007921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 xml:space="preserve">R&amp;D </w:t>
      </w:r>
      <w:proofErr w:type="spellStart"/>
      <w:r w:rsidRPr="007921B1">
        <w:rPr>
          <w:rFonts w:ascii="Arial" w:hAnsi="Arial" w:cs="Arial"/>
          <w:b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includes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persons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employed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directly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field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of R&amp;D as </w:t>
      </w:r>
      <w:proofErr w:type="spellStart"/>
      <w:r w:rsidRPr="007921B1">
        <w:rPr>
          <w:rFonts w:ascii="Arial" w:hAnsi="Arial" w:cs="Arial"/>
          <w:sz w:val="24"/>
          <w:lang w:val="sk-SK"/>
        </w:rPr>
        <w:t>well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Pr="007921B1">
        <w:rPr>
          <w:rFonts w:ascii="Arial" w:hAnsi="Arial" w:cs="Arial"/>
          <w:sz w:val="24"/>
          <w:lang w:val="sk-SK"/>
        </w:rPr>
        <w:t>persons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providing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direct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services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R&amp;D. In </w:t>
      </w:r>
      <w:proofErr w:type="spellStart"/>
      <w:r w:rsidRPr="007921B1">
        <w:rPr>
          <w:rFonts w:ascii="Arial" w:hAnsi="Arial" w:cs="Arial"/>
          <w:sz w:val="24"/>
          <w:lang w:val="sk-SK"/>
        </w:rPr>
        <w:t>extent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7921B1">
        <w:rPr>
          <w:rFonts w:ascii="Arial" w:hAnsi="Arial" w:cs="Arial"/>
          <w:sz w:val="24"/>
          <w:lang w:val="sk-SK"/>
        </w:rPr>
        <w:t>conducted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7921B1">
        <w:rPr>
          <w:rFonts w:ascii="Arial" w:hAnsi="Arial" w:cs="Arial"/>
          <w:sz w:val="24"/>
          <w:lang w:val="sk-SK"/>
        </w:rPr>
        <w:t>activity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</w:t>
      </w:r>
      <w:r w:rsidR="0061779D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61779D">
        <w:rPr>
          <w:rFonts w:ascii="Arial" w:hAnsi="Arial" w:cs="Arial"/>
          <w:sz w:val="24"/>
          <w:lang w:val="sk-SK"/>
        </w:rPr>
        <w:t>providing</w:t>
      </w:r>
      <w:proofErr w:type="spellEnd"/>
      <w:r w:rsidR="0061779D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61779D">
        <w:rPr>
          <w:rFonts w:ascii="Arial" w:hAnsi="Arial" w:cs="Arial"/>
          <w:sz w:val="24"/>
          <w:lang w:val="sk-SK"/>
        </w:rPr>
        <w:t>direct</w:t>
      </w:r>
      <w:proofErr w:type="spellEnd"/>
      <w:r w:rsidR="0061779D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61779D">
        <w:rPr>
          <w:rFonts w:ascii="Arial" w:hAnsi="Arial" w:cs="Arial"/>
          <w:sz w:val="24"/>
          <w:lang w:val="sk-SK"/>
        </w:rPr>
        <w:t>services</w:t>
      </w:r>
      <w:proofErr w:type="spellEnd"/>
      <w:r w:rsidR="0061779D">
        <w:rPr>
          <w:rFonts w:ascii="Arial" w:hAnsi="Arial" w:cs="Arial"/>
          <w:sz w:val="24"/>
          <w:lang w:val="sk-SK"/>
        </w:rPr>
        <w:t xml:space="preserve"> </w:t>
      </w:r>
      <w:r w:rsidR="0061779D">
        <w:rPr>
          <w:rFonts w:ascii="Arial" w:hAnsi="Arial" w:cs="Arial"/>
          <w:sz w:val="24"/>
          <w:lang w:val="sk-SK"/>
        </w:rPr>
        <w:lastRenderedPageBreak/>
        <w:t>to R</w:t>
      </w:r>
      <w:r w:rsidRPr="007921B1">
        <w:rPr>
          <w:rFonts w:ascii="Arial" w:hAnsi="Arial" w:cs="Arial"/>
          <w:sz w:val="24"/>
          <w:lang w:val="sk-SK"/>
        </w:rPr>
        <w:t xml:space="preserve">&amp;D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number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of R&amp;D </w:t>
      </w:r>
      <w:proofErr w:type="spellStart"/>
      <w:r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includes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pedagogical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staff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at </w:t>
      </w:r>
      <w:proofErr w:type="spellStart"/>
      <w:r w:rsidRPr="007921B1">
        <w:rPr>
          <w:rFonts w:ascii="Arial" w:hAnsi="Arial" w:cs="Arial"/>
          <w:sz w:val="24"/>
          <w:lang w:val="sk-SK"/>
        </w:rPr>
        <w:t>universities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7921B1">
        <w:rPr>
          <w:rFonts w:ascii="Arial" w:hAnsi="Arial" w:cs="Arial"/>
          <w:sz w:val="24"/>
          <w:lang w:val="sk-SK"/>
        </w:rPr>
        <w:t>colleges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health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7921B1">
        <w:rPr>
          <w:rFonts w:ascii="Arial" w:hAnsi="Arial" w:cs="Arial"/>
          <w:sz w:val="24"/>
          <w:lang w:val="sk-SK"/>
        </w:rPr>
        <w:t>prototypes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accepted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7921B1">
        <w:rPr>
          <w:rFonts w:ascii="Arial" w:hAnsi="Arial" w:cs="Arial"/>
          <w:sz w:val="24"/>
          <w:lang w:val="sk-SK"/>
        </w:rPr>
        <w:t>educational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stay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working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proprietors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7921B1">
        <w:rPr>
          <w:rFonts w:ascii="Arial" w:hAnsi="Arial" w:cs="Arial"/>
          <w:sz w:val="24"/>
          <w:lang w:val="sk-SK"/>
        </w:rPr>
        <w:t>unpaid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family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workers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7921B1">
        <w:rPr>
          <w:rFonts w:ascii="Arial" w:hAnsi="Arial" w:cs="Arial"/>
          <w:sz w:val="24"/>
          <w:lang w:val="sk-SK"/>
        </w:rPr>
        <w:t>external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7921B1">
        <w:rPr>
          <w:rFonts w:ascii="Arial" w:hAnsi="Arial" w:cs="Arial"/>
          <w:sz w:val="24"/>
          <w:lang w:val="sk-SK"/>
        </w:rPr>
        <w:t>doctoral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students</w:t>
      </w:r>
      <w:proofErr w:type="spellEnd"/>
      <w:r w:rsidRPr="007921B1">
        <w:rPr>
          <w:rFonts w:ascii="Arial" w:hAnsi="Arial" w:cs="Arial"/>
          <w:sz w:val="24"/>
          <w:lang w:val="sk-SK"/>
        </w:rPr>
        <w:t>.</w:t>
      </w:r>
    </w:p>
    <w:p w:rsidR="009E18AB" w:rsidRPr="00331614" w:rsidRDefault="009E18AB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trike/>
          <w:sz w:val="24"/>
          <w:lang w:val="sk-SK"/>
        </w:rPr>
      </w:pPr>
    </w:p>
    <w:p w:rsidR="009E18AB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61779D">
        <w:rPr>
          <w:rFonts w:ascii="Arial" w:hAnsi="Arial" w:cs="Arial"/>
          <w:sz w:val="24"/>
          <w:lang w:val="sk-SK"/>
        </w:rPr>
        <w:t>R&amp;</w:t>
      </w:r>
      <w:r w:rsidR="00331614" w:rsidRPr="007921B1">
        <w:rPr>
          <w:rFonts w:ascii="Arial" w:hAnsi="Arial" w:cs="Arial"/>
          <w:sz w:val="24"/>
          <w:lang w:val="sk-SK"/>
        </w:rPr>
        <w:t xml:space="preserve">D </w:t>
      </w:r>
      <w:proofErr w:type="spellStart"/>
      <w:r w:rsidR="00331614"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="00331614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rendering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indirect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services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mainly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the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7921B1">
        <w:rPr>
          <w:rFonts w:ascii="Arial" w:hAnsi="Arial" w:cs="Arial"/>
          <w:sz w:val="24"/>
          <w:lang w:val="sk-SK"/>
        </w:rPr>
        <w:t>executive</w:t>
      </w:r>
      <w:proofErr w:type="spellEnd"/>
      <w:r w:rsidR="009E18AB" w:rsidRPr="007921B1">
        <w:rPr>
          <w:rFonts w:ascii="Arial" w:hAnsi="Arial" w:cs="Arial"/>
          <w:sz w:val="24"/>
          <w:lang w:val="sk-SK"/>
        </w:rPr>
        <w:t xml:space="preserve"> department </w:t>
      </w:r>
      <w:r w:rsidR="009E18AB" w:rsidRPr="008C739F">
        <w:rPr>
          <w:rFonts w:ascii="Arial" w:hAnsi="Arial" w:cs="Arial"/>
          <w:sz w:val="24"/>
          <w:lang w:val="sk-SK"/>
        </w:rPr>
        <w:t xml:space="preserve">of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Slovak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Academy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Science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(SAS),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publishing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centres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shops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of</w:t>
      </w:r>
      <w:r w:rsidR="009A0BFC">
        <w:rPr>
          <w:rFonts w:ascii="Arial" w:hAnsi="Arial" w:cs="Arial"/>
          <w:sz w:val="24"/>
          <w:lang w:val="sk-SK"/>
        </w:rPr>
        <w:t xml:space="preserve"> </w:t>
      </w:r>
      <w:r w:rsidR="009E18AB" w:rsidRPr="008C739F">
        <w:rPr>
          <w:rFonts w:ascii="Arial" w:hAnsi="Arial" w:cs="Arial"/>
          <w:sz w:val="24"/>
          <w:lang w:val="sk-SK"/>
        </w:rPr>
        <w:t xml:space="preserve">SAS,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computing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centres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of a</w:t>
      </w:r>
      <w:r w:rsidR="009A0BFC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routine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character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security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service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canteens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and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cleaners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drivers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maintenance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men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E18AB" w:rsidRPr="008C739F">
        <w:rPr>
          <w:rFonts w:ascii="Arial" w:hAnsi="Arial" w:cs="Arial"/>
          <w:sz w:val="24"/>
          <w:lang w:val="sk-SK"/>
        </w:rPr>
        <w:t>excluded</w:t>
      </w:r>
      <w:proofErr w:type="spellEnd"/>
      <w:r w:rsidR="009E18AB" w:rsidRPr="008C739F">
        <w:rPr>
          <w:rFonts w:ascii="Arial" w:hAnsi="Arial" w:cs="Arial"/>
          <w:sz w:val="24"/>
          <w:lang w:val="sk-SK"/>
        </w:rPr>
        <w:t>.</w:t>
      </w:r>
    </w:p>
    <w:p w:rsidR="00FD1C7A" w:rsidRPr="008C739F" w:rsidRDefault="00FD1C7A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personnel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reported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except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for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physical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persons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, in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head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counts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well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according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the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FTE in man-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years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. FTE per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employee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is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calculated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="009B36E7" w:rsidRPr="008C739F">
        <w:rPr>
          <w:rFonts w:ascii="Arial" w:hAnsi="Arial" w:cs="Arial"/>
          <w:sz w:val="24"/>
          <w:lang w:val="sk-SK"/>
        </w:rPr>
        <w:t>follows</w:t>
      </w:r>
      <w:proofErr w:type="spellEnd"/>
      <w:r w:rsidR="009B36E7" w:rsidRPr="008C739F">
        <w:rPr>
          <w:rFonts w:ascii="Arial" w:hAnsi="Arial" w:cs="Arial"/>
          <w:sz w:val="24"/>
          <w:lang w:val="sk-SK"/>
        </w:rPr>
        <w:t>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</w:rPr>
      </w:pPr>
      <w:proofErr w:type="gramStart"/>
      <w:r>
        <w:rPr>
          <w:rFonts w:ascii="Arial" w:hAnsi="Arial" w:cs="Arial"/>
          <w:sz w:val="24"/>
          <w:u w:val="single"/>
        </w:rPr>
        <w:t>sum</w:t>
      </w:r>
      <w:proofErr w:type="gramEnd"/>
      <w:r>
        <w:rPr>
          <w:rFonts w:ascii="Arial" w:hAnsi="Arial" w:cs="Arial"/>
          <w:sz w:val="24"/>
          <w:u w:val="single"/>
        </w:rPr>
        <w:t xml:space="preserve"> of hours worked being devoted to R&amp;D activity during the year under observation</w:t>
      </w:r>
    </w:p>
    <w:p w:rsidR="009B36E7" w:rsidRDefault="009B36E7" w:rsidP="009B36E7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where</w:t>
      </w:r>
      <w:proofErr w:type="gramEnd"/>
      <w:r>
        <w:rPr>
          <w:rFonts w:ascii="Arial" w:hAnsi="Arial" w:cs="Arial"/>
          <w:sz w:val="24"/>
        </w:rPr>
        <w:t xml:space="preserve"> 2000 means working capacity of the employee during the year.</w:t>
      </w:r>
    </w:p>
    <w:p w:rsidR="009B36E7" w:rsidRDefault="009B36E7" w:rsidP="009B36E7">
      <w:pPr>
        <w:rPr>
          <w:rFonts w:ascii="Arial" w:hAnsi="Arial" w:cs="Arial"/>
          <w:sz w:val="28"/>
        </w:rPr>
      </w:pPr>
    </w:p>
    <w:p w:rsidR="005773F0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For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other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R&amp;D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the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hours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worked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in R&amp;D are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reported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that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subsequently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5773F0" w:rsidRPr="007921B1">
        <w:rPr>
          <w:rFonts w:ascii="Arial" w:hAnsi="Arial" w:cs="Arial"/>
          <w:sz w:val="24"/>
          <w:lang w:val="sk-SK"/>
        </w:rPr>
        <w:t>recalculated</w:t>
      </w:r>
      <w:proofErr w:type="spellEnd"/>
      <w:r w:rsidR="005773F0" w:rsidRPr="007921B1">
        <w:rPr>
          <w:rFonts w:ascii="Arial" w:hAnsi="Arial" w:cs="Arial"/>
          <w:sz w:val="24"/>
          <w:lang w:val="sk-SK"/>
        </w:rPr>
        <w:t xml:space="preserve"> to FTE.</w:t>
      </w:r>
    </w:p>
    <w:p w:rsidR="005773F0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personnel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occupation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broken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down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B36E7" w:rsidRPr="007921B1">
        <w:rPr>
          <w:rFonts w:ascii="Arial" w:hAnsi="Arial" w:cs="Arial"/>
          <w:sz w:val="24"/>
          <w:lang w:val="sk-SK"/>
        </w:rPr>
        <w:t>into</w:t>
      </w:r>
      <w:proofErr w:type="spellEnd"/>
      <w:r w:rsidR="009B36E7" w:rsidRPr="007921B1">
        <w:rPr>
          <w:rFonts w:ascii="Arial" w:hAnsi="Arial" w:cs="Arial"/>
          <w:sz w:val="24"/>
          <w:lang w:val="sk-SK"/>
        </w:rPr>
        <w:t xml:space="preserve">: 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Researchers</w:t>
      </w:r>
      <w:r w:rsidRPr="007921B1">
        <w:rPr>
          <w:rFonts w:ascii="Arial" w:hAnsi="Arial" w:cs="Arial"/>
          <w:sz w:val="24"/>
        </w:rPr>
        <w:t xml:space="preserve">; this category </w:t>
      </w:r>
      <w:r w:rsidR="005773F0" w:rsidRPr="007921B1">
        <w:rPr>
          <w:rFonts w:ascii="Arial" w:hAnsi="Arial" w:cs="Arial"/>
          <w:sz w:val="24"/>
        </w:rPr>
        <w:t xml:space="preserve">comprises employed persons with </w:t>
      </w:r>
      <w:r w:rsidRPr="007921B1">
        <w:rPr>
          <w:rFonts w:ascii="Arial" w:hAnsi="Arial" w:cs="Arial"/>
          <w:sz w:val="24"/>
        </w:rPr>
        <w:t xml:space="preserve">decisive </w:t>
      </w:r>
      <w:r w:rsidR="005773F0" w:rsidRPr="007921B1">
        <w:rPr>
          <w:rFonts w:ascii="Arial" w:hAnsi="Arial" w:cs="Arial"/>
          <w:sz w:val="24"/>
        </w:rPr>
        <w:t xml:space="preserve">importance </w:t>
      </w:r>
      <w:r w:rsidRPr="007921B1">
        <w:rPr>
          <w:rFonts w:ascii="Arial" w:hAnsi="Arial" w:cs="Arial"/>
          <w:sz w:val="24"/>
        </w:rPr>
        <w:t>for </w:t>
      </w:r>
      <w:r w:rsidRPr="007921B1">
        <w:rPr>
          <w:rFonts w:ascii="Arial" w:hAnsi="Arial" w:cs="Arial"/>
          <w:strike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production </w:t>
      </w:r>
      <w:r w:rsidRPr="007921B1">
        <w:rPr>
          <w:rFonts w:ascii="Arial" w:hAnsi="Arial" w:cs="Arial"/>
          <w:sz w:val="24"/>
        </w:rPr>
        <w:t xml:space="preserve">and social </w:t>
      </w:r>
      <w:r w:rsidR="005773F0" w:rsidRPr="007921B1">
        <w:rPr>
          <w:rFonts w:ascii="Arial" w:hAnsi="Arial" w:cs="Arial"/>
          <w:sz w:val="24"/>
        </w:rPr>
        <w:t xml:space="preserve">use </w:t>
      </w:r>
      <w:r w:rsidRPr="007921B1">
        <w:rPr>
          <w:rFonts w:ascii="Arial" w:hAnsi="Arial" w:cs="Arial"/>
          <w:sz w:val="24"/>
        </w:rPr>
        <w:t xml:space="preserve">of </w:t>
      </w:r>
      <w:r w:rsidR="005773F0" w:rsidRPr="007921B1">
        <w:rPr>
          <w:rFonts w:ascii="Arial" w:hAnsi="Arial" w:cs="Arial"/>
          <w:sz w:val="24"/>
        </w:rPr>
        <w:t xml:space="preserve">the </w:t>
      </w:r>
      <w:r w:rsidRPr="007921B1">
        <w:rPr>
          <w:rFonts w:ascii="Arial" w:hAnsi="Arial" w:cs="Arial"/>
          <w:sz w:val="24"/>
        </w:rPr>
        <w:t>scientific knowledge;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Technic</w:t>
      </w:r>
      <w:r w:rsidR="005773F0" w:rsidRPr="007921B1">
        <w:rPr>
          <w:rFonts w:ascii="Arial" w:hAnsi="Arial" w:cs="Arial"/>
          <w:sz w:val="24"/>
          <w:u w:val="single"/>
        </w:rPr>
        <w:t>ians</w:t>
      </w:r>
      <w:r w:rsidRPr="007921B1">
        <w:rPr>
          <w:rFonts w:ascii="Arial" w:hAnsi="Arial" w:cs="Arial"/>
          <w:sz w:val="24"/>
          <w:u w:val="single"/>
        </w:rPr>
        <w:t xml:space="preserve"> a</w:t>
      </w:r>
      <w:r w:rsidR="005773F0" w:rsidRPr="007921B1">
        <w:rPr>
          <w:rFonts w:ascii="Arial" w:hAnsi="Arial" w:cs="Arial"/>
          <w:sz w:val="24"/>
          <w:u w:val="single"/>
        </w:rPr>
        <w:t>nd</w:t>
      </w:r>
      <w:r w:rsidRPr="007921B1">
        <w:rPr>
          <w:rFonts w:ascii="Arial" w:hAnsi="Arial" w:cs="Arial"/>
          <w:sz w:val="24"/>
          <w:u w:val="single"/>
        </w:rPr>
        <w:t xml:space="preserve"> equivalent </w:t>
      </w:r>
      <w:r w:rsidR="005773F0" w:rsidRPr="007921B1">
        <w:rPr>
          <w:rFonts w:ascii="Arial" w:hAnsi="Arial" w:cs="Arial"/>
          <w:sz w:val="24"/>
          <w:u w:val="single"/>
        </w:rPr>
        <w:t>staff</w:t>
      </w:r>
      <w:r w:rsidRPr="007921B1">
        <w:rPr>
          <w:rFonts w:ascii="Arial" w:hAnsi="Arial" w:cs="Arial"/>
          <w:sz w:val="24"/>
          <w:u w:val="single"/>
        </w:rPr>
        <w:t>;</w:t>
      </w:r>
      <w:r w:rsidRPr="007921B1">
        <w:rPr>
          <w:rFonts w:ascii="Arial" w:hAnsi="Arial" w:cs="Arial"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include employed persons </w:t>
      </w:r>
      <w:r w:rsidR="004018EB" w:rsidRPr="007921B1">
        <w:rPr>
          <w:rFonts w:ascii="Arial" w:hAnsi="Arial" w:cs="Arial"/>
          <w:sz w:val="24"/>
        </w:rPr>
        <w:t xml:space="preserve">participating in </w:t>
      </w:r>
      <w:r w:rsidR="004018EB" w:rsidRPr="007921B1">
        <w:rPr>
          <w:rFonts w:ascii="Arial" w:hAnsi="Arial" w:cs="Arial"/>
          <w:sz w:val="24"/>
          <w:lang w:val="sk-SK"/>
        </w:rPr>
        <w:t xml:space="preserve">R&amp;D </w:t>
      </w:r>
      <w:r w:rsidRPr="007921B1">
        <w:rPr>
          <w:rFonts w:ascii="Arial" w:hAnsi="Arial" w:cs="Arial"/>
          <w:sz w:val="24"/>
        </w:rPr>
        <w:t>projects by </w:t>
      </w:r>
      <w:r w:rsidR="004018EB" w:rsidRPr="007921B1">
        <w:rPr>
          <w:rFonts w:ascii="Arial" w:hAnsi="Arial" w:cs="Arial"/>
          <w:sz w:val="24"/>
        </w:rPr>
        <w:t xml:space="preserve">performing </w:t>
      </w:r>
      <w:r w:rsidRPr="007921B1">
        <w:rPr>
          <w:rFonts w:ascii="Arial" w:hAnsi="Arial" w:cs="Arial"/>
          <w:sz w:val="24"/>
        </w:rPr>
        <w:t xml:space="preserve">scientific and </w:t>
      </w:r>
      <w:r w:rsidR="004018EB" w:rsidRPr="007921B1">
        <w:rPr>
          <w:rFonts w:ascii="Arial" w:hAnsi="Arial" w:cs="Arial"/>
          <w:sz w:val="24"/>
        </w:rPr>
        <w:t>technical</w:t>
      </w:r>
      <w:r w:rsidRPr="007921B1">
        <w:rPr>
          <w:rFonts w:ascii="Arial" w:hAnsi="Arial" w:cs="Arial"/>
          <w:sz w:val="24"/>
        </w:rPr>
        <w:t xml:space="preserve"> tasks</w:t>
      </w:r>
      <w:r w:rsidR="004018EB" w:rsidRPr="007921B1">
        <w:rPr>
          <w:rFonts w:ascii="Arial" w:hAnsi="Arial" w:cs="Arial"/>
          <w:sz w:val="24"/>
        </w:rPr>
        <w:t xml:space="preserve"> usually</w:t>
      </w:r>
      <w:r w:rsidRPr="007921B1">
        <w:rPr>
          <w:rFonts w:ascii="Arial" w:hAnsi="Arial" w:cs="Arial"/>
          <w:sz w:val="24"/>
        </w:rPr>
        <w:t xml:space="preserve"> under the </w:t>
      </w:r>
      <w:r w:rsidR="004018EB" w:rsidRPr="007921B1">
        <w:rPr>
          <w:rFonts w:ascii="Arial" w:hAnsi="Arial" w:cs="Arial"/>
          <w:sz w:val="24"/>
        </w:rPr>
        <w:t xml:space="preserve">supervision </w:t>
      </w:r>
      <w:r w:rsidRPr="007921B1">
        <w:rPr>
          <w:rFonts w:ascii="Arial" w:hAnsi="Arial" w:cs="Arial"/>
          <w:sz w:val="24"/>
        </w:rPr>
        <w:t>of researchers;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Supporting staff;</w:t>
      </w:r>
      <w:r w:rsidRPr="007921B1">
        <w:rPr>
          <w:rFonts w:ascii="Arial" w:hAnsi="Arial" w:cs="Arial"/>
          <w:sz w:val="24"/>
        </w:rPr>
        <w:t xml:space="preserve"> </w:t>
      </w:r>
      <w:r w:rsidR="00B671E7" w:rsidRPr="007921B1">
        <w:rPr>
          <w:rFonts w:ascii="Arial" w:hAnsi="Arial" w:cs="Arial"/>
          <w:sz w:val="24"/>
        </w:rPr>
        <w:t xml:space="preserve">includes </w:t>
      </w:r>
      <w:r w:rsidRPr="007921B1">
        <w:rPr>
          <w:rFonts w:ascii="Arial" w:hAnsi="Arial" w:cs="Arial"/>
          <w:sz w:val="24"/>
        </w:rPr>
        <w:t xml:space="preserve">qualified </w:t>
      </w:r>
      <w:r w:rsidR="00B671E7" w:rsidRPr="007921B1">
        <w:rPr>
          <w:rFonts w:ascii="Arial" w:hAnsi="Arial" w:cs="Arial"/>
          <w:sz w:val="24"/>
        </w:rPr>
        <w:t>and non-qualified workers</w:t>
      </w:r>
      <w:r w:rsidRPr="007921B1">
        <w:rPr>
          <w:rFonts w:ascii="Arial" w:hAnsi="Arial" w:cs="Arial"/>
          <w:sz w:val="24"/>
        </w:rPr>
        <w:t xml:space="preserve">, secretaries and other </w:t>
      </w:r>
      <w:r w:rsidR="00B671E7" w:rsidRPr="007921B1">
        <w:rPr>
          <w:rFonts w:ascii="Arial" w:hAnsi="Arial" w:cs="Arial"/>
          <w:sz w:val="24"/>
        </w:rPr>
        <w:t xml:space="preserve">employed persons </w:t>
      </w:r>
      <w:r w:rsidRPr="007921B1">
        <w:rPr>
          <w:rFonts w:ascii="Arial" w:hAnsi="Arial" w:cs="Arial"/>
          <w:sz w:val="24"/>
        </w:rPr>
        <w:t>participating in </w:t>
      </w:r>
      <w:r w:rsidR="00B671E7" w:rsidRPr="007921B1">
        <w:rPr>
          <w:rFonts w:ascii="Arial" w:hAnsi="Arial" w:cs="Arial"/>
          <w:sz w:val="24"/>
        </w:rPr>
        <w:t xml:space="preserve">the work </w:t>
      </w:r>
      <w:r w:rsidRPr="007921B1">
        <w:rPr>
          <w:rFonts w:ascii="Arial" w:hAnsi="Arial" w:cs="Arial"/>
          <w:sz w:val="24"/>
        </w:rPr>
        <w:t xml:space="preserve">on </w:t>
      </w:r>
      <w:r w:rsidR="009A0BFC" w:rsidRPr="007921B1">
        <w:rPr>
          <w:rFonts w:ascii="Arial" w:hAnsi="Arial" w:cs="Arial"/>
          <w:sz w:val="24"/>
          <w:lang w:val="sk-SK"/>
        </w:rPr>
        <w:t>R&amp;D</w:t>
      </w:r>
      <w:r w:rsidR="009A0BFC" w:rsidRPr="007921B1">
        <w:rPr>
          <w:rFonts w:ascii="Arial" w:hAnsi="Arial" w:cs="Arial"/>
          <w:sz w:val="24"/>
        </w:rPr>
        <w:t xml:space="preserve"> </w:t>
      </w:r>
      <w:r w:rsidRPr="007921B1">
        <w:rPr>
          <w:rFonts w:ascii="Arial" w:hAnsi="Arial" w:cs="Arial"/>
          <w:sz w:val="24"/>
        </w:rPr>
        <w:t xml:space="preserve">projects. </w:t>
      </w:r>
      <w:r w:rsidR="000F7B10" w:rsidRPr="007921B1">
        <w:rPr>
          <w:rFonts w:ascii="Arial" w:hAnsi="Arial" w:cs="Arial"/>
          <w:sz w:val="24"/>
        </w:rPr>
        <w:t xml:space="preserve">There are also included </w:t>
      </w:r>
      <w:r w:rsidRPr="007921B1">
        <w:rPr>
          <w:rFonts w:ascii="Arial" w:hAnsi="Arial" w:cs="Arial"/>
          <w:sz w:val="24"/>
        </w:rPr>
        <w:t xml:space="preserve">other managers and administrative </w:t>
      </w:r>
      <w:r w:rsidR="00B671E7" w:rsidRPr="007921B1">
        <w:rPr>
          <w:rFonts w:ascii="Arial" w:hAnsi="Arial" w:cs="Arial"/>
          <w:sz w:val="24"/>
        </w:rPr>
        <w:t xml:space="preserve">employees </w:t>
      </w:r>
      <w:r w:rsidRPr="007921B1">
        <w:rPr>
          <w:rFonts w:ascii="Arial" w:hAnsi="Arial" w:cs="Arial"/>
          <w:sz w:val="24"/>
        </w:rPr>
        <w:t xml:space="preserve">dealing with personal and financial </w:t>
      </w:r>
      <w:r w:rsidR="00B671E7" w:rsidRPr="007921B1">
        <w:rPr>
          <w:rFonts w:ascii="Arial" w:hAnsi="Arial" w:cs="Arial"/>
          <w:sz w:val="24"/>
        </w:rPr>
        <w:t xml:space="preserve">matters </w:t>
      </w:r>
      <w:r w:rsidRPr="007921B1">
        <w:rPr>
          <w:rFonts w:ascii="Arial" w:hAnsi="Arial" w:cs="Arial"/>
          <w:sz w:val="24"/>
        </w:rPr>
        <w:t xml:space="preserve">whose activities are </w:t>
      </w:r>
      <w:r w:rsidR="00B671E7" w:rsidRPr="007921B1">
        <w:rPr>
          <w:rFonts w:ascii="Arial" w:hAnsi="Arial" w:cs="Arial"/>
          <w:sz w:val="24"/>
        </w:rPr>
        <w:t xml:space="preserve">qualified </w:t>
      </w:r>
      <w:r w:rsidRPr="007921B1">
        <w:rPr>
          <w:rFonts w:ascii="Arial" w:hAnsi="Arial" w:cs="Arial"/>
          <w:sz w:val="24"/>
        </w:rPr>
        <w:t xml:space="preserve">as a direct service </w:t>
      </w:r>
      <w:r w:rsidR="00B671E7" w:rsidRPr="007921B1">
        <w:rPr>
          <w:rFonts w:ascii="Arial" w:hAnsi="Arial" w:cs="Arial"/>
          <w:sz w:val="24"/>
        </w:rPr>
        <w:t xml:space="preserve">supporting </w:t>
      </w:r>
      <w:r w:rsidRPr="007921B1">
        <w:rPr>
          <w:rFonts w:ascii="Arial" w:hAnsi="Arial" w:cs="Arial"/>
          <w:sz w:val="24"/>
        </w:rPr>
        <w:t>research.</w:t>
      </w:r>
    </w:p>
    <w:p w:rsidR="009B36E7" w:rsidRPr="007921B1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="00910D5F" w:rsidRPr="007921B1">
        <w:rPr>
          <w:rFonts w:ascii="Arial" w:hAnsi="Arial" w:cs="Arial"/>
          <w:sz w:val="24"/>
          <w:lang w:val="sk-SK"/>
        </w:rPr>
        <w:t>employees</w:t>
      </w:r>
      <w:proofErr w:type="spellEnd"/>
      <w:r w:rsidR="00910D5F" w:rsidRPr="007921B1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="00910D5F" w:rsidRPr="007921B1">
        <w:rPr>
          <w:rFonts w:ascii="Arial" w:hAnsi="Arial" w:cs="Arial"/>
          <w:sz w:val="24"/>
          <w:lang w:val="sk-SK"/>
        </w:rPr>
        <w:t>doctorate</w:t>
      </w:r>
      <w:proofErr w:type="spellEnd"/>
      <w:r w:rsidR="00910D5F"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="00910D5F" w:rsidRPr="007921B1">
        <w:rPr>
          <w:rFonts w:ascii="Arial" w:hAnsi="Arial" w:cs="Arial"/>
          <w:sz w:val="24"/>
          <w:lang w:val="sk-SK"/>
        </w:rPr>
        <w:t>students</w:t>
      </w:r>
      <w:proofErr w:type="spellEnd"/>
      <w:r w:rsidR="00910D5F"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sz w:val="24"/>
          <w:lang w:val="sk-SK"/>
        </w:rPr>
        <w:t xml:space="preserve">are </w:t>
      </w:r>
      <w:proofErr w:type="spellStart"/>
      <w:r w:rsidRPr="007921B1">
        <w:rPr>
          <w:rFonts w:ascii="Arial" w:hAnsi="Arial" w:cs="Arial"/>
          <w:sz w:val="24"/>
          <w:lang w:val="sk-SK"/>
        </w:rPr>
        <w:t>further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more </w:t>
      </w:r>
      <w:proofErr w:type="spellStart"/>
      <w:r w:rsidRPr="007921B1">
        <w:rPr>
          <w:rFonts w:ascii="Arial" w:hAnsi="Arial" w:cs="Arial"/>
          <w:sz w:val="24"/>
          <w:lang w:val="sk-SK"/>
        </w:rPr>
        <w:t>broken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down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7921B1">
        <w:rPr>
          <w:rFonts w:ascii="Arial" w:hAnsi="Arial" w:cs="Arial"/>
          <w:sz w:val="24"/>
          <w:lang w:val="sk-SK"/>
        </w:rPr>
        <w:t>according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7921B1">
        <w:rPr>
          <w:rFonts w:ascii="Arial" w:hAnsi="Arial" w:cs="Arial"/>
          <w:sz w:val="24"/>
          <w:lang w:val="sk-SK"/>
        </w:rPr>
        <w:t>the</w:t>
      </w:r>
      <w:proofErr w:type="spellEnd"/>
      <w:r w:rsidRPr="007921B1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degree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highest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education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level </w:t>
      </w:r>
      <w:proofErr w:type="spellStart"/>
      <w:r w:rsidRPr="008C739F">
        <w:rPr>
          <w:rFonts w:ascii="Arial" w:hAnsi="Arial" w:cs="Arial"/>
          <w:sz w:val="24"/>
          <w:lang w:val="sk-SK"/>
        </w:rPr>
        <w:t>achieved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as </w:t>
      </w:r>
      <w:proofErr w:type="spellStart"/>
      <w:r w:rsidRPr="008C739F">
        <w:rPr>
          <w:rFonts w:ascii="Arial" w:hAnsi="Arial" w:cs="Arial"/>
          <w:sz w:val="24"/>
          <w:lang w:val="sk-SK"/>
        </w:rPr>
        <w:t>follows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: </w:t>
      </w:r>
    </w:p>
    <w:p w:rsidR="009B36E7" w:rsidRPr="00B77D89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University and higher qualification level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firstLine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of</w:t>
      </w:r>
      <w:proofErr w:type="gramEnd"/>
      <w:r>
        <w:rPr>
          <w:rFonts w:ascii="Arial" w:hAnsi="Arial" w:cs="Arial"/>
          <w:sz w:val="24"/>
        </w:rPr>
        <w:t xml:space="preserve"> </w:t>
      </w:r>
      <w:r w:rsidR="009B36E7">
        <w:rPr>
          <w:rFonts w:ascii="Arial" w:hAnsi="Arial" w:cs="Arial"/>
          <w:sz w:val="24"/>
        </w:rPr>
        <w:t>which:</w:t>
      </w:r>
      <w:r w:rsidR="009B36E7">
        <w:rPr>
          <w:rFonts w:ascii="Arial" w:hAnsi="Arial" w:cs="Arial"/>
          <w:sz w:val="24"/>
        </w:rPr>
        <w:tab/>
        <w:t>-</w:t>
      </w:r>
      <w:r w:rsidR="00ED1C2D">
        <w:rPr>
          <w:rFonts w:ascii="Arial" w:hAnsi="Arial" w:cs="Arial"/>
          <w:sz w:val="24"/>
        </w:rPr>
        <w:t> </w:t>
      </w:r>
      <w:r w:rsidR="009B36E7">
        <w:rPr>
          <w:rFonts w:ascii="Arial" w:hAnsi="Arial" w:cs="Arial"/>
          <w:sz w:val="24"/>
        </w:rPr>
        <w:t>Bachelor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>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>
        <w:rPr>
          <w:rFonts w:ascii="Arial" w:hAnsi="Arial" w:cs="Arial"/>
          <w:sz w:val="24"/>
        </w:rPr>
        <w:t>Master degree,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 w:rsidR="007160EF">
        <w:rPr>
          <w:rFonts w:ascii="Arial" w:hAnsi="Arial" w:cs="Arial"/>
          <w:sz w:val="24"/>
        </w:rPr>
        <w:t>Doctoral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 xml:space="preserve"> (Ph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 xml:space="preserve">, </w:t>
      </w:r>
      <w:proofErr w:type="spellStart"/>
      <w:r w:rsidR="009B36E7">
        <w:rPr>
          <w:rFonts w:ascii="Arial" w:hAnsi="Arial" w:cs="Arial"/>
          <w:sz w:val="24"/>
        </w:rPr>
        <w:t>Dr.</w:t>
      </w:r>
      <w:proofErr w:type="spellEnd"/>
      <w:r w:rsidR="009B36E7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P</w:t>
      </w:r>
      <w:r w:rsidR="009B36E7">
        <w:rPr>
          <w:rFonts w:ascii="Arial" w:hAnsi="Arial" w:cs="Arial"/>
          <w:sz w:val="24"/>
        </w:rPr>
        <w:t xml:space="preserve">rofessor, </w:t>
      </w:r>
      <w:r>
        <w:rPr>
          <w:rFonts w:ascii="Arial" w:hAnsi="Arial" w:cs="Arial"/>
          <w:sz w:val="24"/>
        </w:rPr>
        <w:t>A</w:t>
      </w:r>
      <w:r w:rsidR="009B36E7">
        <w:rPr>
          <w:rFonts w:ascii="Arial" w:hAnsi="Arial" w:cs="Arial"/>
          <w:sz w:val="24"/>
        </w:rPr>
        <w:t>ssociate professor)</w:t>
      </w:r>
    </w:p>
    <w:p w:rsidR="009B36E7" w:rsidRPr="009A6CF8" w:rsidRDefault="0088102B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Short-cycle</w:t>
      </w:r>
      <w:r w:rsidR="009B36E7">
        <w:rPr>
          <w:rFonts w:ascii="Arial" w:hAnsi="Arial" w:cs="Arial"/>
          <w:sz w:val="24"/>
        </w:rPr>
        <w:t xml:space="preserve"> tertiary education </w:t>
      </w:r>
    </w:p>
    <w:p w:rsidR="009B36E7" w:rsidRPr="009A6CF8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Secondary education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Basic education</w:t>
      </w:r>
    </w:p>
    <w:p w:rsidR="009B36E7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u w:val="single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include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total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on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activities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within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organisation</w:t>
      </w:r>
      <w:proofErr w:type="spellEnd"/>
      <w:r w:rsidRPr="008C739F">
        <w:rPr>
          <w:rFonts w:ascii="Arial" w:hAnsi="Arial" w:cs="Arial"/>
          <w:sz w:val="24"/>
          <w:lang w:val="sk-SK"/>
        </w:rPr>
        <w:t>, i.</w:t>
      </w:r>
      <w:r w:rsidR="006712A4">
        <w:rPr>
          <w:rFonts w:ascii="Arial" w:hAnsi="Arial" w:cs="Arial"/>
          <w:sz w:val="24"/>
          <w:lang w:val="sk-SK"/>
        </w:rPr>
        <w:t> </w:t>
      </w:r>
      <w:r w:rsidRPr="008C739F">
        <w:rPr>
          <w:rFonts w:ascii="Arial" w:hAnsi="Arial" w:cs="Arial"/>
          <w:sz w:val="24"/>
          <w:lang w:val="sk-SK"/>
        </w:rPr>
        <w:t xml:space="preserve">e. </w:t>
      </w:r>
      <w:proofErr w:type="spellStart"/>
      <w:r w:rsidRPr="008C739F">
        <w:rPr>
          <w:rFonts w:ascii="Arial" w:hAnsi="Arial" w:cs="Arial"/>
          <w:sz w:val="24"/>
          <w:lang w:val="sk-SK"/>
        </w:rPr>
        <w:t>domestic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They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include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capital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current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From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being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spent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outside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organisation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only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those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Pr="008C739F">
        <w:rPr>
          <w:rFonts w:ascii="Arial" w:hAnsi="Arial" w:cs="Arial"/>
          <w:sz w:val="24"/>
          <w:lang w:val="sk-SK"/>
        </w:rPr>
        <w:t>included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which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serve as a </w:t>
      </w:r>
      <w:proofErr w:type="spellStart"/>
      <w:r w:rsidRPr="008C739F">
        <w:rPr>
          <w:rFonts w:ascii="Arial" w:hAnsi="Arial" w:cs="Arial"/>
          <w:sz w:val="24"/>
          <w:lang w:val="sk-SK"/>
        </w:rPr>
        <w:t>support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to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internal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research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development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(e.</w:t>
      </w:r>
      <w:r w:rsidR="008F51B2">
        <w:rPr>
          <w:rFonts w:ascii="Arial" w:hAnsi="Arial" w:cs="Arial"/>
          <w:sz w:val="24"/>
          <w:lang w:val="sk-SK"/>
        </w:rPr>
        <w:t> </w:t>
      </w:r>
      <w:r w:rsidRPr="008C739F">
        <w:rPr>
          <w:rFonts w:ascii="Arial" w:hAnsi="Arial" w:cs="Arial"/>
          <w:sz w:val="24"/>
          <w:lang w:val="sk-SK"/>
        </w:rPr>
        <w:t xml:space="preserve">g. </w:t>
      </w:r>
      <w:proofErr w:type="spellStart"/>
      <w:r w:rsidRPr="008C739F">
        <w:rPr>
          <w:rFonts w:ascii="Arial" w:hAnsi="Arial" w:cs="Arial"/>
          <w:sz w:val="24"/>
          <w:lang w:val="sk-SK"/>
        </w:rPr>
        <w:t>purchase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equipment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for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 xml:space="preserve">).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depreciation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buildings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8C739F">
        <w:rPr>
          <w:rFonts w:ascii="Arial" w:hAnsi="Arial" w:cs="Arial"/>
          <w:sz w:val="24"/>
          <w:lang w:val="sk-SK"/>
        </w:rPr>
        <w:t>machinery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equipment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equipment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is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excluded</w:t>
      </w:r>
      <w:proofErr w:type="spellEnd"/>
      <w:r w:rsidRPr="008C739F">
        <w:rPr>
          <w:rFonts w:ascii="Arial" w:hAnsi="Arial" w:cs="Arial"/>
          <w:sz w:val="24"/>
          <w:lang w:val="sk-SK"/>
        </w:rPr>
        <w:t>.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expenditures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are </w:t>
      </w:r>
      <w:proofErr w:type="spellStart"/>
      <w:r w:rsidRPr="008C739F">
        <w:rPr>
          <w:rFonts w:ascii="Arial" w:hAnsi="Arial" w:cs="Arial"/>
          <w:sz w:val="24"/>
          <w:lang w:val="sk-SK"/>
        </w:rPr>
        <w:t>surveyed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also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by </w:t>
      </w:r>
      <w:proofErr w:type="spellStart"/>
      <w:r w:rsidRPr="008C739F">
        <w:rPr>
          <w:rFonts w:ascii="Arial" w:hAnsi="Arial" w:cs="Arial"/>
          <w:sz w:val="24"/>
          <w:lang w:val="sk-SK"/>
        </w:rPr>
        <w:t>source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proofErr w:type="spellStart"/>
      <w:r w:rsidRPr="008C739F">
        <w:rPr>
          <w:rFonts w:ascii="Arial" w:hAnsi="Arial" w:cs="Arial"/>
          <w:sz w:val="24"/>
          <w:lang w:val="sk-SK"/>
        </w:rPr>
        <w:t>funds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, </w:t>
      </w:r>
      <w:proofErr w:type="spellStart"/>
      <w:r w:rsidRPr="008C739F">
        <w:rPr>
          <w:rFonts w:ascii="Arial" w:hAnsi="Arial" w:cs="Arial"/>
          <w:sz w:val="24"/>
          <w:lang w:val="sk-SK"/>
        </w:rPr>
        <w:t>socio-economic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objectives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by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activity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. </w:t>
      </w:r>
      <w:proofErr w:type="spellStart"/>
      <w:r w:rsidRPr="008C739F">
        <w:rPr>
          <w:rFonts w:ascii="Arial" w:hAnsi="Arial" w:cs="Arial"/>
          <w:sz w:val="24"/>
          <w:lang w:val="sk-SK"/>
        </w:rPr>
        <w:t>Publication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contains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also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an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overview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on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funding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of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proofErr w:type="spellStart"/>
      <w:r w:rsidRPr="008C739F">
        <w:rPr>
          <w:rFonts w:ascii="Arial" w:hAnsi="Arial" w:cs="Arial"/>
          <w:sz w:val="24"/>
          <w:lang w:val="sk-SK"/>
        </w:rPr>
        <w:t>projects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in </w:t>
      </w:r>
      <w:proofErr w:type="spellStart"/>
      <w:r w:rsidRPr="008C739F">
        <w:rPr>
          <w:rFonts w:ascii="Arial" w:hAnsi="Arial" w:cs="Arial"/>
          <w:sz w:val="24"/>
          <w:lang w:val="sk-SK"/>
        </w:rPr>
        <w:t>total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and </w:t>
      </w:r>
      <w:proofErr w:type="spellStart"/>
      <w:r w:rsidRPr="008C739F">
        <w:rPr>
          <w:rFonts w:ascii="Arial" w:hAnsi="Arial" w:cs="Arial"/>
          <w:sz w:val="24"/>
          <w:lang w:val="sk-SK"/>
        </w:rPr>
        <w:t>from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</w:t>
      </w:r>
      <w:proofErr w:type="spellStart"/>
      <w:r w:rsidRPr="008C739F">
        <w:rPr>
          <w:rFonts w:ascii="Arial" w:hAnsi="Arial" w:cs="Arial"/>
          <w:sz w:val="24"/>
          <w:lang w:val="sk-SK"/>
        </w:rPr>
        <w:t>the</w:t>
      </w:r>
      <w:proofErr w:type="spellEnd"/>
      <w:r w:rsidRPr="008C739F">
        <w:rPr>
          <w:rFonts w:ascii="Arial" w:hAnsi="Arial" w:cs="Arial"/>
          <w:sz w:val="24"/>
          <w:lang w:val="sk-SK"/>
        </w:rPr>
        <w:t xml:space="preserve"> state </w:t>
      </w:r>
      <w:proofErr w:type="spellStart"/>
      <w:r w:rsidRPr="008C739F">
        <w:rPr>
          <w:rFonts w:ascii="Arial" w:hAnsi="Arial" w:cs="Arial"/>
          <w:sz w:val="24"/>
          <w:lang w:val="sk-SK"/>
        </w:rPr>
        <w:t>budget</w:t>
      </w:r>
      <w:proofErr w:type="spellEnd"/>
      <w:r w:rsidRPr="008C739F">
        <w:rPr>
          <w:rFonts w:ascii="Arial" w:hAnsi="Arial" w:cs="Arial"/>
          <w:sz w:val="24"/>
          <w:lang w:val="sk-SK"/>
        </w:rPr>
        <w:t>.</w:t>
      </w:r>
    </w:p>
    <w:p w:rsidR="00B77D89" w:rsidRDefault="009B36E7" w:rsidP="009B36E7">
      <w:pPr>
        <w:pStyle w:val="Podtitul"/>
        <w:ind w:firstLine="709"/>
        <w:rPr>
          <w:b w:val="0"/>
        </w:rPr>
      </w:pPr>
      <w:r>
        <w:rPr>
          <w:b w:val="0"/>
        </w:rPr>
        <w:br w:type="page"/>
      </w: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lastRenderedPageBreak/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>sector</w:t>
      </w:r>
      <w:proofErr w:type="spellEnd"/>
    </w:p>
    <w:p w:rsidR="009B36E7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current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(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revise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)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definition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of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was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created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within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statistics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science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innovation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by Eurostat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collaboration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with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OECD in 2008.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manufacturing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aggregated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according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to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intensity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(</w:t>
      </w:r>
      <w:r w:rsidR="009A0BFC" w:rsidRPr="009A0BFC">
        <w:rPr>
          <w:rFonts w:ascii="Arial" w:hAnsi="Arial" w:cs="Arial"/>
          <w:b w:val="0"/>
          <w:sz w:val="24"/>
        </w:rPr>
        <w:t>R&amp;D</w:t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expenditure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 / 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value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added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)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based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Statistical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classification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of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economic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activities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European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Community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NACE Rev. 2.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Manufacturing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industries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classified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four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: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high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medium-high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medium-low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low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divided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6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which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aggregated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two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sub-sectors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-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.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are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divided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into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high-technology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market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,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financial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other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.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Among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belong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market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and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other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less-knowledge-intensive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Detailed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sorting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of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sectors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according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to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revise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OECD/Eurostat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definition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is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in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</w:t>
      </w:r>
      <w:proofErr w:type="spellStart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following</w:t>
      </w:r>
      <w:proofErr w:type="spellEnd"/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table:</w:t>
      </w:r>
      <w:bookmarkStart w:id="0" w:name="_GoBack"/>
      <w:bookmarkEnd w:id="0"/>
    </w:p>
    <w:p w:rsidR="009B36E7" w:rsidRPr="0072030B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9B36E7" w:rsidP="00B77D89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2439D3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Manufacturing industries by SK NACE Rev. 2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High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basic pharmaceutical products and pharmaceutical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preparations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26 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computer, electronic and optical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Medium-high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chemicals and chemical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27 to 29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electrical equipment, Manufacture of machinery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equipment </w:t>
            </w:r>
            <w:proofErr w:type="spellStart"/>
            <w:r w:rsidRPr="009E18AB">
              <w:rPr>
                <w:rFonts w:ascii="Arial" w:hAnsi="Arial" w:cs="Arial"/>
                <w:sz w:val="20"/>
                <w:lang w:eastAsia="sk-SK"/>
              </w:rPr>
              <w:t>n.e.c</w:t>
            </w:r>
            <w:proofErr w:type="spellEnd"/>
            <w:r w:rsidRPr="009E18AB">
              <w:rPr>
                <w:rFonts w:ascii="Arial" w:hAnsi="Arial" w:cs="Arial"/>
                <w:sz w:val="20"/>
                <w:lang w:eastAsia="sk-SK"/>
              </w:rPr>
              <w:t>., Manufacture of motor vehicles, trailers and semi-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trailers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Manufacture of other transport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ships and boats, and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 xml:space="preserve"> excluding 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tabs>
                <w:tab w:val="left" w:pos="988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 instruments and supplies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Medium-low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18.2 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coke and refined petroleum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22 to 24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rubber and plastic products, Manufacture of other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non-metallic mineral products, Manufacture of basic metals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fabricated metal products, except machinery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 of ships and boats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Repair and installation of machinery and equipment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Low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10 to 17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food products, beverages, tobacco products,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textiles, wearing apparel, leather and related products, wood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products of wood, paper and paper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Printing and reproduction of recorded media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18.2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br/>
            </w:r>
            <w:r w:rsidRPr="009E18AB">
              <w:rPr>
                <w:rFonts w:ascii="Arial" w:hAnsi="Arial" w:cs="Arial"/>
                <w:bCs/>
                <w:sz w:val="20"/>
                <w:lang w:eastAsia="sk-SK"/>
              </w:rPr>
              <w:t xml:space="preserve">  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furniture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Other manufacturing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instruments and supplies</w:t>
            </w:r>
          </w:p>
        </w:tc>
      </w:tr>
      <w:tr w:rsidR="009B36E7" w:rsidRPr="002439D3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Manufacturing industries - total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10 to</w:t>
            </w:r>
            <w:r w:rsidRPr="009E18AB">
              <w:rPr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33</w:t>
            </w:r>
          </w:p>
        </w:tc>
      </w:tr>
    </w:tbl>
    <w:p w:rsidR="009B36E7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p w:rsidR="009B36E7" w:rsidRDefault="009B36E7" w:rsidP="009B36E7">
      <w:pPr>
        <w:rPr>
          <w:rFonts w:ascii="Arial" w:hAnsi="Arial" w:cs="Arial"/>
          <w:sz w:val="24"/>
        </w:rPr>
      </w:pPr>
      <w:r>
        <w:rPr>
          <w:rFonts w:ascii="Arial" w:hAnsi="Arial" w:cs="Arial"/>
        </w:rPr>
        <w:br w:type="page"/>
      </w:r>
    </w:p>
    <w:p w:rsidR="009B36E7" w:rsidRPr="00426A3C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tbl>
      <w:tblPr>
        <w:tblW w:w="1031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39"/>
        <w:gridCol w:w="6879"/>
      </w:tblGrid>
      <w:tr w:rsidR="009B36E7" w:rsidRPr="002439D3" w:rsidTr="004812EB">
        <w:trPr>
          <w:cantSplit/>
          <w:trHeight w:val="576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Services by SK NACE Rev. 2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high-tech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59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Motion picture, video and television programme production, sound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recording and music publishing activities; Programming and broadcasting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Telecommunications; Computer programming, consultancy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related activities; Information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72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Scientific research and development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market</w:t>
            </w:r>
          </w:p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 (excluding high-tech and</w:t>
            </w:r>
          </w:p>
          <w:p w:rsidR="009B36E7" w:rsidRPr="009E18AB" w:rsidRDefault="009B36E7" w:rsidP="009B36E7">
            <w:pPr>
              <w:ind w:right="-57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financial services)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Water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Air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Legal and accounting activities; Activities of head offices;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management consultancy activities; Architectural and engineering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technical testing and analysis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74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Advertising and market research; Other professional, scientific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technical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78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Employment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80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Security and investigation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financial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64 to 66</w:t>
            </w:r>
            <w:r w:rsidRPr="009E18AB">
              <w:rPr>
                <w:rFonts w:ascii="Arial" w:hAnsi="Arial" w:cs="Arial"/>
                <w:sz w:val="20"/>
              </w:rPr>
              <w:t> Financial service activities, except insurance and pension funding;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 xml:space="preserve">Insurance, reinsurance and pension funding, except compulsory social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>security; Activities auxiliary to financial services and insurance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58</w:t>
            </w:r>
            <w:r w:rsidRPr="009E18AB">
              <w:rPr>
                <w:rFonts w:ascii="Arial" w:hAnsi="Arial" w:cs="Arial"/>
                <w:sz w:val="20"/>
              </w:rPr>
              <w:t> Publishing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75</w:t>
            </w:r>
            <w:r w:rsidRPr="009E18AB">
              <w:rPr>
                <w:rFonts w:ascii="Arial" w:hAnsi="Arial" w:cs="Arial"/>
                <w:sz w:val="20"/>
              </w:rPr>
              <w:t> Veterinary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84</w:t>
            </w:r>
            <w:r w:rsidRPr="009E18AB">
              <w:rPr>
                <w:rFonts w:ascii="Arial" w:hAnsi="Arial" w:cs="Arial"/>
                <w:sz w:val="20"/>
              </w:rPr>
              <w:t> Public administration and defence; compulsory social security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85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93</w:t>
            </w:r>
            <w:r w:rsidRPr="009E18AB">
              <w:rPr>
                <w:rFonts w:ascii="Arial" w:hAnsi="Arial" w:cs="Arial"/>
                <w:sz w:val="20"/>
              </w:rPr>
              <w:t> Education; Human health activities; Residential care activities;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Social work activities without accommodation; Creative, arts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entertainment activities; Libraries, archives, museums and other cultural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activities; Gambling and betting activities; Sports activities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amusement and recreation activities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 knowledge-intensive services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Less-knowledge-intensive market</w:t>
            </w:r>
          </w:p>
          <w:p w:rsidR="009B36E7" w:rsidRDefault="009B36E7" w:rsidP="009B36E7">
            <w:pPr>
              <w:pStyle w:val="Normlny1"/>
              <w:widowControl/>
              <w:rPr>
                <w:rFonts w:ascii="Arial" w:hAnsi="Arial" w:cs="Arial"/>
                <w:lang w:eastAsia="sk-SK"/>
              </w:rPr>
            </w:pPr>
            <w:r w:rsidRPr="009E18AB">
              <w:rPr>
                <w:rFonts w:ascii="Arial" w:hAnsi="Arial" w:cs="Arial"/>
                <w:lang w:eastAsia="sk-SK"/>
              </w:rPr>
              <w:t xml:space="preserve">  services</w:t>
            </w:r>
          </w:p>
          <w:p w:rsidR="00EF0B6E" w:rsidRPr="009E18AB" w:rsidRDefault="00EF0B6E" w:rsidP="009B36E7">
            <w:pPr>
              <w:pStyle w:val="Normlny1"/>
              <w:widowControl/>
              <w:rPr>
                <w:rFonts w:ascii="Arial" w:hAnsi="Arial" w:cs="Arial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47</w:t>
            </w:r>
            <w:r w:rsidRPr="009E18AB">
              <w:rPr>
                <w:rFonts w:ascii="Arial" w:hAnsi="Arial" w:cs="Arial"/>
                <w:sz w:val="20"/>
              </w:rPr>
              <w:t> Wholesale and retail trade and repair of motor vehicles and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motorcycles;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Wholesale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trade, except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of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vehicles and motorcycles;</w:t>
            </w:r>
            <w:r w:rsidR="00B77D89">
              <w:rPr>
                <w:rFonts w:ascii="Arial" w:hAnsi="Arial" w:cs="Arial"/>
                <w:sz w:val="20"/>
              </w:rPr>
              <w:br/>
            </w:r>
            <w:r w:rsidRPr="009E18AB">
              <w:rPr>
                <w:rFonts w:ascii="Arial" w:hAnsi="Arial" w:cs="Arial"/>
                <w:sz w:val="20"/>
              </w:rPr>
              <w:t xml:space="preserve">  Retail trade, except of motor vehicles and motorcycles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49 </w:t>
            </w:r>
            <w:r w:rsidRPr="009E18AB">
              <w:rPr>
                <w:rFonts w:ascii="Arial" w:hAnsi="Arial" w:cs="Arial"/>
                <w:sz w:val="20"/>
              </w:rPr>
              <w:t>Land transport and transport via pipelines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52</w:t>
            </w:r>
            <w:r w:rsidRPr="009E18AB">
              <w:rPr>
                <w:rFonts w:ascii="Arial" w:hAnsi="Arial" w:cs="Arial"/>
                <w:sz w:val="20"/>
              </w:rPr>
              <w:t> Warehousing and support activities for transportation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55 to 56</w:t>
            </w:r>
            <w:r w:rsidRPr="009E18AB">
              <w:rPr>
                <w:rFonts w:ascii="Arial" w:hAnsi="Arial" w:cs="Arial"/>
                <w:sz w:val="20"/>
              </w:rPr>
              <w:t> Accommodation; Food and beverage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68</w:t>
            </w:r>
            <w:r w:rsidRPr="009E18AB">
              <w:rPr>
                <w:rFonts w:ascii="Arial" w:hAnsi="Arial" w:cs="Arial"/>
                <w:sz w:val="20"/>
              </w:rPr>
              <w:t> Real estate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77</w:t>
            </w:r>
            <w:r w:rsidRPr="009E18AB">
              <w:rPr>
                <w:rFonts w:ascii="Arial" w:hAnsi="Arial" w:cs="Arial"/>
                <w:sz w:val="20"/>
              </w:rPr>
              <w:t> Rental and leasing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79</w:t>
            </w:r>
            <w:r w:rsidRPr="009E18AB">
              <w:rPr>
                <w:rFonts w:ascii="Arial" w:hAnsi="Arial" w:cs="Arial"/>
                <w:sz w:val="20"/>
              </w:rPr>
              <w:t> Travel agency, tour operator and other reservation service and related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81</w:t>
            </w:r>
            <w:r w:rsidRPr="009E18AB">
              <w:rPr>
                <w:rFonts w:ascii="Arial" w:hAnsi="Arial" w:cs="Arial"/>
                <w:sz w:val="20"/>
              </w:rPr>
              <w:t> Services to buildings and landscape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82</w:t>
            </w:r>
            <w:r w:rsidRPr="009E18AB">
              <w:rPr>
                <w:rFonts w:ascii="Arial" w:hAnsi="Arial" w:cs="Arial"/>
                <w:sz w:val="20"/>
              </w:rPr>
              <w:t> Office administrative, office support and other business support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95</w:t>
            </w:r>
            <w:r w:rsidRPr="009E18AB">
              <w:rPr>
                <w:rFonts w:ascii="Arial" w:hAnsi="Arial" w:cs="Arial"/>
                <w:sz w:val="20"/>
              </w:rPr>
              <w:t> Repair of computers and personal and household goods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less-knowledge-intensive</w:t>
            </w:r>
          </w:p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53 </w:t>
            </w:r>
            <w:r w:rsidRPr="009E18AB">
              <w:rPr>
                <w:rFonts w:ascii="Arial" w:hAnsi="Arial" w:cs="Arial"/>
                <w:sz w:val="20"/>
              </w:rPr>
              <w:t>Postal and courier activities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94</w:t>
            </w:r>
            <w:r w:rsidRPr="009E18AB">
              <w:rPr>
                <w:rFonts w:ascii="Arial" w:hAnsi="Arial" w:cs="Arial"/>
                <w:sz w:val="20"/>
              </w:rPr>
              <w:t> Activities of membership organisations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96</w:t>
            </w:r>
            <w:r w:rsidRPr="009E18AB">
              <w:rPr>
                <w:rFonts w:ascii="Arial" w:hAnsi="Arial" w:cs="Arial"/>
                <w:sz w:val="20"/>
              </w:rPr>
              <w:t> Other personal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97 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99</w:t>
            </w:r>
            <w:r w:rsidRPr="009E18AB">
              <w:rPr>
                <w:rFonts w:ascii="Arial" w:hAnsi="Arial" w:cs="Arial"/>
                <w:sz w:val="20"/>
              </w:rPr>
              <w:t xml:space="preserve"> Activities of households as employers of domestic personnel; 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Undifferentiated goods- and services-producing activities of private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households for own use; Activities of extraterritorial organisations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bodies</w:t>
            </w:r>
          </w:p>
        </w:tc>
      </w:tr>
      <w:tr w:rsidR="009B36E7" w:rsidRPr="002439D3" w:rsidTr="004812EB">
        <w:trPr>
          <w:cantSplit/>
          <w:trHeight w:hRule="exact" w:val="403"/>
        </w:trPr>
        <w:tc>
          <w:tcPr>
            <w:tcW w:w="343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Services - total</w:t>
            </w: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99</w:t>
            </w:r>
          </w:p>
        </w:tc>
      </w:tr>
    </w:tbl>
    <w:p w:rsidR="009B36E7" w:rsidRDefault="009B36E7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p w:rsidR="00EF0B6E" w:rsidRPr="00110771" w:rsidRDefault="00EF0B6E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sectPr w:rsidR="00EF0B6E" w:rsidRPr="00110771" w:rsidSect="00C9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737" w:bottom="851" w:left="964" w:header="0" w:footer="454" w:gutter="0"/>
      <w:pgNumType w:start="5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8FA" w:rsidRDefault="005D78FA">
      <w:r>
        <w:separator/>
      </w:r>
    </w:p>
  </w:endnote>
  <w:endnote w:type="continuationSeparator" w:id="0">
    <w:p w:rsidR="005D78FA" w:rsidRDefault="005D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83" w:rsidRDefault="00C86F5B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AC198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C1983">
      <w:rPr>
        <w:rStyle w:val="slostrany"/>
        <w:noProof/>
      </w:rPr>
      <w:t>8</w:t>
    </w:r>
    <w:r>
      <w:rPr>
        <w:rStyle w:val="slostrany"/>
      </w:rPr>
      <w:fldChar w:fldCharType="end"/>
    </w:r>
  </w:p>
  <w:p w:rsidR="00AC1983" w:rsidRDefault="00AC1983">
    <w:pPr>
      <w:pStyle w:val="Pta"/>
      <w:framePr w:wrap="auto" w:vAnchor="text" w:hAnchor="margin" w:xAlign="outside" w:y="1"/>
      <w:rPr>
        <w:rStyle w:val="slostrany"/>
      </w:rPr>
    </w:pPr>
  </w:p>
  <w:p w:rsidR="00AC1983" w:rsidRDefault="00AC1983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83" w:rsidRDefault="00C86F5B" w:rsidP="0029017C">
    <w:pPr>
      <w:pStyle w:val="Pta"/>
      <w:framePr w:wrap="auto" w:vAnchor="text" w:hAnchor="margin" w:xAlign="center" w:y="1"/>
      <w:jc w:val="center"/>
      <w:rPr>
        <w:rStyle w:val="slostrany"/>
      </w:rPr>
    </w:pPr>
    <w:r>
      <w:rPr>
        <w:rStyle w:val="slostrany"/>
      </w:rPr>
      <w:fldChar w:fldCharType="begin"/>
    </w:r>
    <w:r w:rsidR="00AC198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E1325">
      <w:rPr>
        <w:rStyle w:val="slostrany"/>
        <w:noProof/>
      </w:rPr>
      <w:t>60</w:t>
    </w:r>
    <w:r>
      <w:rPr>
        <w:rStyle w:val="slostrany"/>
      </w:rPr>
      <w:fldChar w:fldCharType="end"/>
    </w:r>
  </w:p>
  <w:p w:rsidR="00AC1983" w:rsidRDefault="00AC1983" w:rsidP="0029017C">
    <w:pPr>
      <w:pStyle w:val="Pta"/>
      <w:ind w:left="0" w:right="360" w:firstLine="0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8FA" w:rsidRDefault="005D78FA">
      <w:r>
        <w:separator/>
      </w:r>
    </w:p>
  </w:footnote>
  <w:footnote w:type="continuationSeparator" w:id="0">
    <w:p w:rsidR="005D78FA" w:rsidRDefault="005D7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5BF434D"/>
    <w:multiLevelType w:val="hybridMultilevel"/>
    <w:tmpl w:val="712ABD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F349F"/>
    <w:multiLevelType w:val="singleLevel"/>
    <w:tmpl w:val="F04A115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4" w15:restartNumberingAfterBreak="0">
    <w:nsid w:val="7A6B3DAF"/>
    <w:multiLevelType w:val="hybridMultilevel"/>
    <w:tmpl w:val="81262A5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proofState w:spelling="clean" w:grammar="clean"/>
  <w:attachedTemplate r:id="rId1"/>
  <w:defaultTabStop w:val="567"/>
  <w:hyphenationZone w:val="425"/>
  <w:doNotHyphenateCaps/>
  <w:drawingGridHorizontalSpacing w:val="80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0B"/>
    <w:rsid w:val="000011CC"/>
    <w:rsid w:val="000015D2"/>
    <w:rsid w:val="000017BB"/>
    <w:rsid w:val="00003275"/>
    <w:rsid w:val="0000539D"/>
    <w:rsid w:val="000065F7"/>
    <w:rsid w:val="00010398"/>
    <w:rsid w:val="00011632"/>
    <w:rsid w:val="00012A6C"/>
    <w:rsid w:val="00013708"/>
    <w:rsid w:val="00013DF8"/>
    <w:rsid w:val="000147AB"/>
    <w:rsid w:val="000175A4"/>
    <w:rsid w:val="00020A8F"/>
    <w:rsid w:val="00020ADD"/>
    <w:rsid w:val="00020D99"/>
    <w:rsid w:val="0002120E"/>
    <w:rsid w:val="000231F0"/>
    <w:rsid w:val="000233F2"/>
    <w:rsid w:val="000236E5"/>
    <w:rsid w:val="00023823"/>
    <w:rsid w:val="00023BC2"/>
    <w:rsid w:val="00023BCD"/>
    <w:rsid w:val="00034366"/>
    <w:rsid w:val="000357D2"/>
    <w:rsid w:val="00037039"/>
    <w:rsid w:val="00037F1D"/>
    <w:rsid w:val="000408B9"/>
    <w:rsid w:val="00040C1B"/>
    <w:rsid w:val="00043762"/>
    <w:rsid w:val="000437EA"/>
    <w:rsid w:val="00044CD9"/>
    <w:rsid w:val="000452CA"/>
    <w:rsid w:val="00045488"/>
    <w:rsid w:val="00045554"/>
    <w:rsid w:val="00045763"/>
    <w:rsid w:val="00045C8A"/>
    <w:rsid w:val="0004667E"/>
    <w:rsid w:val="00046853"/>
    <w:rsid w:val="000477E8"/>
    <w:rsid w:val="00047A8E"/>
    <w:rsid w:val="000511FC"/>
    <w:rsid w:val="00053071"/>
    <w:rsid w:val="00054711"/>
    <w:rsid w:val="00056958"/>
    <w:rsid w:val="00057DC2"/>
    <w:rsid w:val="0006449C"/>
    <w:rsid w:val="00064DE4"/>
    <w:rsid w:val="000652CC"/>
    <w:rsid w:val="00065461"/>
    <w:rsid w:val="00066A11"/>
    <w:rsid w:val="0006700C"/>
    <w:rsid w:val="00067D77"/>
    <w:rsid w:val="000702FF"/>
    <w:rsid w:val="000708BE"/>
    <w:rsid w:val="00070A49"/>
    <w:rsid w:val="00071737"/>
    <w:rsid w:val="00071C3F"/>
    <w:rsid w:val="0007265D"/>
    <w:rsid w:val="0007333D"/>
    <w:rsid w:val="00073442"/>
    <w:rsid w:val="00073D01"/>
    <w:rsid w:val="00074831"/>
    <w:rsid w:val="00075056"/>
    <w:rsid w:val="00075772"/>
    <w:rsid w:val="000758FA"/>
    <w:rsid w:val="000766A2"/>
    <w:rsid w:val="00080116"/>
    <w:rsid w:val="00080253"/>
    <w:rsid w:val="000808F7"/>
    <w:rsid w:val="000815E6"/>
    <w:rsid w:val="00083A50"/>
    <w:rsid w:val="00083B1A"/>
    <w:rsid w:val="00084550"/>
    <w:rsid w:val="00085196"/>
    <w:rsid w:val="000857A0"/>
    <w:rsid w:val="000874AA"/>
    <w:rsid w:val="0008763C"/>
    <w:rsid w:val="00087DC9"/>
    <w:rsid w:val="00090EF9"/>
    <w:rsid w:val="00093416"/>
    <w:rsid w:val="0009429A"/>
    <w:rsid w:val="000960EC"/>
    <w:rsid w:val="00096490"/>
    <w:rsid w:val="00096D9B"/>
    <w:rsid w:val="00096E78"/>
    <w:rsid w:val="00097CE9"/>
    <w:rsid w:val="000A233B"/>
    <w:rsid w:val="000A3DA6"/>
    <w:rsid w:val="000A422C"/>
    <w:rsid w:val="000A5E8A"/>
    <w:rsid w:val="000A5FB5"/>
    <w:rsid w:val="000A69AF"/>
    <w:rsid w:val="000A7601"/>
    <w:rsid w:val="000B0296"/>
    <w:rsid w:val="000B08B9"/>
    <w:rsid w:val="000B1176"/>
    <w:rsid w:val="000B17D1"/>
    <w:rsid w:val="000B195F"/>
    <w:rsid w:val="000B2AE8"/>
    <w:rsid w:val="000B3133"/>
    <w:rsid w:val="000B35C0"/>
    <w:rsid w:val="000B3A8C"/>
    <w:rsid w:val="000B5F80"/>
    <w:rsid w:val="000B7A35"/>
    <w:rsid w:val="000C0E2F"/>
    <w:rsid w:val="000C17FF"/>
    <w:rsid w:val="000C1A23"/>
    <w:rsid w:val="000C258D"/>
    <w:rsid w:val="000C2793"/>
    <w:rsid w:val="000C2C78"/>
    <w:rsid w:val="000C3EEF"/>
    <w:rsid w:val="000C49B5"/>
    <w:rsid w:val="000C6B82"/>
    <w:rsid w:val="000C7A18"/>
    <w:rsid w:val="000D08B9"/>
    <w:rsid w:val="000D0D18"/>
    <w:rsid w:val="000D102F"/>
    <w:rsid w:val="000D1C57"/>
    <w:rsid w:val="000D35AF"/>
    <w:rsid w:val="000D4857"/>
    <w:rsid w:val="000D543E"/>
    <w:rsid w:val="000D6258"/>
    <w:rsid w:val="000D7102"/>
    <w:rsid w:val="000E1A7A"/>
    <w:rsid w:val="000E1AC0"/>
    <w:rsid w:val="000E2386"/>
    <w:rsid w:val="000E23AB"/>
    <w:rsid w:val="000E247F"/>
    <w:rsid w:val="000E329F"/>
    <w:rsid w:val="000E3CA1"/>
    <w:rsid w:val="000E3F97"/>
    <w:rsid w:val="000E5285"/>
    <w:rsid w:val="000E536A"/>
    <w:rsid w:val="000E713F"/>
    <w:rsid w:val="000F00FE"/>
    <w:rsid w:val="000F119C"/>
    <w:rsid w:val="000F16AE"/>
    <w:rsid w:val="000F194A"/>
    <w:rsid w:val="000F2B61"/>
    <w:rsid w:val="000F3836"/>
    <w:rsid w:val="000F38B6"/>
    <w:rsid w:val="000F41DA"/>
    <w:rsid w:val="000F4A9B"/>
    <w:rsid w:val="000F4AB9"/>
    <w:rsid w:val="000F4EFE"/>
    <w:rsid w:val="000F4F5D"/>
    <w:rsid w:val="000F57D7"/>
    <w:rsid w:val="000F5AC6"/>
    <w:rsid w:val="000F7B10"/>
    <w:rsid w:val="000F7E87"/>
    <w:rsid w:val="000F7EFF"/>
    <w:rsid w:val="001009FE"/>
    <w:rsid w:val="0010269B"/>
    <w:rsid w:val="001032DF"/>
    <w:rsid w:val="001035B2"/>
    <w:rsid w:val="00104896"/>
    <w:rsid w:val="00105E52"/>
    <w:rsid w:val="00107380"/>
    <w:rsid w:val="001075D0"/>
    <w:rsid w:val="001076F7"/>
    <w:rsid w:val="001100FC"/>
    <w:rsid w:val="00110149"/>
    <w:rsid w:val="00110771"/>
    <w:rsid w:val="00110AFC"/>
    <w:rsid w:val="0011144D"/>
    <w:rsid w:val="00111D17"/>
    <w:rsid w:val="00112B73"/>
    <w:rsid w:val="00112EDD"/>
    <w:rsid w:val="0011371E"/>
    <w:rsid w:val="00113E92"/>
    <w:rsid w:val="00114045"/>
    <w:rsid w:val="00114401"/>
    <w:rsid w:val="0011454F"/>
    <w:rsid w:val="00114AC1"/>
    <w:rsid w:val="00116ED7"/>
    <w:rsid w:val="0011776D"/>
    <w:rsid w:val="00117A50"/>
    <w:rsid w:val="00117F78"/>
    <w:rsid w:val="0012048C"/>
    <w:rsid w:val="0012057C"/>
    <w:rsid w:val="0012077B"/>
    <w:rsid w:val="0012376C"/>
    <w:rsid w:val="00123CD3"/>
    <w:rsid w:val="00123E21"/>
    <w:rsid w:val="00124C87"/>
    <w:rsid w:val="00124EBE"/>
    <w:rsid w:val="00126C6C"/>
    <w:rsid w:val="001275D8"/>
    <w:rsid w:val="001311F9"/>
    <w:rsid w:val="00131520"/>
    <w:rsid w:val="00132447"/>
    <w:rsid w:val="001328DE"/>
    <w:rsid w:val="00133C2E"/>
    <w:rsid w:val="00134739"/>
    <w:rsid w:val="00134DAF"/>
    <w:rsid w:val="00135982"/>
    <w:rsid w:val="0013663F"/>
    <w:rsid w:val="001368F0"/>
    <w:rsid w:val="00136BD7"/>
    <w:rsid w:val="00136CF2"/>
    <w:rsid w:val="00137470"/>
    <w:rsid w:val="00137D4E"/>
    <w:rsid w:val="00137DEB"/>
    <w:rsid w:val="00140CDD"/>
    <w:rsid w:val="00140E89"/>
    <w:rsid w:val="001410A8"/>
    <w:rsid w:val="00141DC9"/>
    <w:rsid w:val="00144115"/>
    <w:rsid w:val="00145CEE"/>
    <w:rsid w:val="00145DBC"/>
    <w:rsid w:val="00146910"/>
    <w:rsid w:val="00147E26"/>
    <w:rsid w:val="00152AA1"/>
    <w:rsid w:val="00152DD4"/>
    <w:rsid w:val="00153522"/>
    <w:rsid w:val="00153559"/>
    <w:rsid w:val="001553D9"/>
    <w:rsid w:val="00155636"/>
    <w:rsid w:val="00155ADC"/>
    <w:rsid w:val="00155E25"/>
    <w:rsid w:val="001566FE"/>
    <w:rsid w:val="0015749E"/>
    <w:rsid w:val="00160011"/>
    <w:rsid w:val="00160BE2"/>
    <w:rsid w:val="00161608"/>
    <w:rsid w:val="0016176F"/>
    <w:rsid w:val="00161975"/>
    <w:rsid w:val="00161D64"/>
    <w:rsid w:val="0016335C"/>
    <w:rsid w:val="00163FFA"/>
    <w:rsid w:val="001646CC"/>
    <w:rsid w:val="00164BF6"/>
    <w:rsid w:val="0016582D"/>
    <w:rsid w:val="00165B2F"/>
    <w:rsid w:val="00165EE5"/>
    <w:rsid w:val="00167CB7"/>
    <w:rsid w:val="00174800"/>
    <w:rsid w:val="00175076"/>
    <w:rsid w:val="00175665"/>
    <w:rsid w:val="00176285"/>
    <w:rsid w:val="00177B33"/>
    <w:rsid w:val="00177EDD"/>
    <w:rsid w:val="0018043F"/>
    <w:rsid w:val="00181599"/>
    <w:rsid w:val="001815B3"/>
    <w:rsid w:val="0018173C"/>
    <w:rsid w:val="00183E18"/>
    <w:rsid w:val="00185DC7"/>
    <w:rsid w:val="00186379"/>
    <w:rsid w:val="00186920"/>
    <w:rsid w:val="00187484"/>
    <w:rsid w:val="001914D0"/>
    <w:rsid w:val="0019477B"/>
    <w:rsid w:val="0019520E"/>
    <w:rsid w:val="00195D2E"/>
    <w:rsid w:val="00195E56"/>
    <w:rsid w:val="0019621E"/>
    <w:rsid w:val="00196B31"/>
    <w:rsid w:val="00197F6C"/>
    <w:rsid w:val="001A0319"/>
    <w:rsid w:val="001A12ED"/>
    <w:rsid w:val="001A22AF"/>
    <w:rsid w:val="001A33DC"/>
    <w:rsid w:val="001A69EE"/>
    <w:rsid w:val="001A73BC"/>
    <w:rsid w:val="001A7599"/>
    <w:rsid w:val="001A75F4"/>
    <w:rsid w:val="001B1385"/>
    <w:rsid w:val="001B14D3"/>
    <w:rsid w:val="001B194C"/>
    <w:rsid w:val="001B3A00"/>
    <w:rsid w:val="001B4065"/>
    <w:rsid w:val="001B496A"/>
    <w:rsid w:val="001B559A"/>
    <w:rsid w:val="001B55D7"/>
    <w:rsid w:val="001B621A"/>
    <w:rsid w:val="001B6E6C"/>
    <w:rsid w:val="001B7275"/>
    <w:rsid w:val="001B79A2"/>
    <w:rsid w:val="001B7BAB"/>
    <w:rsid w:val="001C05A0"/>
    <w:rsid w:val="001C0702"/>
    <w:rsid w:val="001C0729"/>
    <w:rsid w:val="001C0D5E"/>
    <w:rsid w:val="001C0F71"/>
    <w:rsid w:val="001C244C"/>
    <w:rsid w:val="001C25C1"/>
    <w:rsid w:val="001C3543"/>
    <w:rsid w:val="001C3D95"/>
    <w:rsid w:val="001C4621"/>
    <w:rsid w:val="001C4780"/>
    <w:rsid w:val="001C571F"/>
    <w:rsid w:val="001C6479"/>
    <w:rsid w:val="001D0952"/>
    <w:rsid w:val="001D1020"/>
    <w:rsid w:val="001D2275"/>
    <w:rsid w:val="001D2A7C"/>
    <w:rsid w:val="001D312F"/>
    <w:rsid w:val="001D34D6"/>
    <w:rsid w:val="001D3EC8"/>
    <w:rsid w:val="001D433B"/>
    <w:rsid w:val="001D6126"/>
    <w:rsid w:val="001D6C80"/>
    <w:rsid w:val="001D7E7D"/>
    <w:rsid w:val="001E0697"/>
    <w:rsid w:val="001E1325"/>
    <w:rsid w:val="001E160B"/>
    <w:rsid w:val="001E28A4"/>
    <w:rsid w:val="001E508B"/>
    <w:rsid w:val="001E5690"/>
    <w:rsid w:val="001E6C03"/>
    <w:rsid w:val="001F0AB5"/>
    <w:rsid w:val="001F17BC"/>
    <w:rsid w:val="001F274C"/>
    <w:rsid w:val="001F45CE"/>
    <w:rsid w:val="001F4B70"/>
    <w:rsid w:val="001F5718"/>
    <w:rsid w:val="001F584E"/>
    <w:rsid w:val="001F7E56"/>
    <w:rsid w:val="00200405"/>
    <w:rsid w:val="00200C71"/>
    <w:rsid w:val="0020105D"/>
    <w:rsid w:val="00201513"/>
    <w:rsid w:val="002015A2"/>
    <w:rsid w:val="00201776"/>
    <w:rsid w:val="00201E30"/>
    <w:rsid w:val="002020B0"/>
    <w:rsid w:val="00202D3D"/>
    <w:rsid w:val="0020345D"/>
    <w:rsid w:val="00203AA7"/>
    <w:rsid w:val="00204375"/>
    <w:rsid w:val="002045FC"/>
    <w:rsid w:val="00205133"/>
    <w:rsid w:val="00206219"/>
    <w:rsid w:val="002062F6"/>
    <w:rsid w:val="00206805"/>
    <w:rsid w:val="0020700A"/>
    <w:rsid w:val="00207751"/>
    <w:rsid w:val="002102C2"/>
    <w:rsid w:val="00211FF8"/>
    <w:rsid w:val="00212C2D"/>
    <w:rsid w:val="0021311F"/>
    <w:rsid w:val="00214D81"/>
    <w:rsid w:val="00216466"/>
    <w:rsid w:val="0021790B"/>
    <w:rsid w:val="002204ED"/>
    <w:rsid w:val="0022054C"/>
    <w:rsid w:val="00221391"/>
    <w:rsid w:val="002216A3"/>
    <w:rsid w:val="00222D40"/>
    <w:rsid w:val="00224962"/>
    <w:rsid w:val="00225CC2"/>
    <w:rsid w:val="00230715"/>
    <w:rsid w:val="002323ED"/>
    <w:rsid w:val="002337F7"/>
    <w:rsid w:val="002342C0"/>
    <w:rsid w:val="002346E0"/>
    <w:rsid w:val="00234D1D"/>
    <w:rsid w:val="00235544"/>
    <w:rsid w:val="002363D1"/>
    <w:rsid w:val="00240235"/>
    <w:rsid w:val="002412E3"/>
    <w:rsid w:val="00241994"/>
    <w:rsid w:val="00241AE4"/>
    <w:rsid w:val="00242011"/>
    <w:rsid w:val="002425CA"/>
    <w:rsid w:val="0024317C"/>
    <w:rsid w:val="00243F0F"/>
    <w:rsid w:val="00244783"/>
    <w:rsid w:val="00244F35"/>
    <w:rsid w:val="00245035"/>
    <w:rsid w:val="0024562B"/>
    <w:rsid w:val="00245CDB"/>
    <w:rsid w:val="00246133"/>
    <w:rsid w:val="00246453"/>
    <w:rsid w:val="002464BB"/>
    <w:rsid w:val="002475CB"/>
    <w:rsid w:val="00250593"/>
    <w:rsid w:val="00251BA6"/>
    <w:rsid w:val="00254131"/>
    <w:rsid w:val="0025525E"/>
    <w:rsid w:val="00256138"/>
    <w:rsid w:val="002562D1"/>
    <w:rsid w:val="00257C5E"/>
    <w:rsid w:val="00262D43"/>
    <w:rsid w:val="00263F4E"/>
    <w:rsid w:val="00264671"/>
    <w:rsid w:val="0026732A"/>
    <w:rsid w:val="00267828"/>
    <w:rsid w:val="0027020C"/>
    <w:rsid w:val="00270464"/>
    <w:rsid w:val="00270D3B"/>
    <w:rsid w:val="00271401"/>
    <w:rsid w:val="0027235C"/>
    <w:rsid w:val="002734B0"/>
    <w:rsid w:val="00273FEB"/>
    <w:rsid w:val="002747A4"/>
    <w:rsid w:val="00276371"/>
    <w:rsid w:val="00276BAC"/>
    <w:rsid w:val="00276DCC"/>
    <w:rsid w:val="002772CA"/>
    <w:rsid w:val="00277BF3"/>
    <w:rsid w:val="00277D72"/>
    <w:rsid w:val="00280CEE"/>
    <w:rsid w:val="00282548"/>
    <w:rsid w:val="0028277C"/>
    <w:rsid w:val="00282FE3"/>
    <w:rsid w:val="00283D8D"/>
    <w:rsid w:val="00286482"/>
    <w:rsid w:val="00287127"/>
    <w:rsid w:val="0029017C"/>
    <w:rsid w:val="00290910"/>
    <w:rsid w:val="00290FB5"/>
    <w:rsid w:val="002910B3"/>
    <w:rsid w:val="002916DC"/>
    <w:rsid w:val="0029196C"/>
    <w:rsid w:val="00291DCA"/>
    <w:rsid w:val="0029356D"/>
    <w:rsid w:val="00294DC1"/>
    <w:rsid w:val="00295701"/>
    <w:rsid w:val="002974A8"/>
    <w:rsid w:val="002A1150"/>
    <w:rsid w:val="002A1585"/>
    <w:rsid w:val="002A270D"/>
    <w:rsid w:val="002A2BBC"/>
    <w:rsid w:val="002A4076"/>
    <w:rsid w:val="002A7201"/>
    <w:rsid w:val="002A7C55"/>
    <w:rsid w:val="002A7D52"/>
    <w:rsid w:val="002B11FB"/>
    <w:rsid w:val="002B16FD"/>
    <w:rsid w:val="002B2DC9"/>
    <w:rsid w:val="002B375F"/>
    <w:rsid w:val="002B3FAC"/>
    <w:rsid w:val="002B4910"/>
    <w:rsid w:val="002B55C2"/>
    <w:rsid w:val="002B5BBA"/>
    <w:rsid w:val="002B625C"/>
    <w:rsid w:val="002B7900"/>
    <w:rsid w:val="002C196E"/>
    <w:rsid w:val="002C4A98"/>
    <w:rsid w:val="002C519C"/>
    <w:rsid w:val="002C5335"/>
    <w:rsid w:val="002C5433"/>
    <w:rsid w:val="002C58BB"/>
    <w:rsid w:val="002C5EC0"/>
    <w:rsid w:val="002C644E"/>
    <w:rsid w:val="002C7EBB"/>
    <w:rsid w:val="002D107D"/>
    <w:rsid w:val="002D1FAE"/>
    <w:rsid w:val="002D2954"/>
    <w:rsid w:val="002D4A4D"/>
    <w:rsid w:val="002D785B"/>
    <w:rsid w:val="002E01B3"/>
    <w:rsid w:val="002E0480"/>
    <w:rsid w:val="002E217E"/>
    <w:rsid w:val="002E2F4F"/>
    <w:rsid w:val="002E48D4"/>
    <w:rsid w:val="002E5A45"/>
    <w:rsid w:val="002E5A92"/>
    <w:rsid w:val="002E7FB0"/>
    <w:rsid w:val="002F004F"/>
    <w:rsid w:val="002F113F"/>
    <w:rsid w:val="002F2215"/>
    <w:rsid w:val="002F26B7"/>
    <w:rsid w:val="002F2813"/>
    <w:rsid w:val="002F28C0"/>
    <w:rsid w:val="002F28D3"/>
    <w:rsid w:val="002F3D08"/>
    <w:rsid w:val="002F4169"/>
    <w:rsid w:val="002F4F67"/>
    <w:rsid w:val="002F4FF5"/>
    <w:rsid w:val="002F5792"/>
    <w:rsid w:val="002F5A4D"/>
    <w:rsid w:val="002F6757"/>
    <w:rsid w:val="002F6A95"/>
    <w:rsid w:val="003021DB"/>
    <w:rsid w:val="003022C2"/>
    <w:rsid w:val="00302753"/>
    <w:rsid w:val="0030403D"/>
    <w:rsid w:val="0030585A"/>
    <w:rsid w:val="00305AFE"/>
    <w:rsid w:val="00306474"/>
    <w:rsid w:val="00306AD4"/>
    <w:rsid w:val="00310578"/>
    <w:rsid w:val="00310E8F"/>
    <w:rsid w:val="003112EA"/>
    <w:rsid w:val="003116C7"/>
    <w:rsid w:val="00312643"/>
    <w:rsid w:val="00312807"/>
    <w:rsid w:val="00313490"/>
    <w:rsid w:val="00313D9C"/>
    <w:rsid w:val="00314941"/>
    <w:rsid w:val="00315163"/>
    <w:rsid w:val="003154A1"/>
    <w:rsid w:val="003171EB"/>
    <w:rsid w:val="00317D44"/>
    <w:rsid w:val="003215C2"/>
    <w:rsid w:val="0032169C"/>
    <w:rsid w:val="00321EE4"/>
    <w:rsid w:val="00322604"/>
    <w:rsid w:val="0032400B"/>
    <w:rsid w:val="00325927"/>
    <w:rsid w:val="0032620C"/>
    <w:rsid w:val="00326DF6"/>
    <w:rsid w:val="00331614"/>
    <w:rsid w:val="003355CF"/>
    <w:rsid w:val="00336A16"/>
    <w:rsid w:val="00340A3F"/>
    <w:rsid w:val="00341A5C"/>
    <w:rsid w:val="00343489"/>
    <w:rsid w:val="00344808"/>
    <w:rsid w:val="003459E4"/>
    <w:rsid w:val="003465A4"/>
    <w:rsid w:val="003466A2"/>
    <w:rsid w:val="00350734"/>
    <w:rsid w:val="00351337"/>
    <w:rsid w:val="00352A0C"/>
    <w:rsid w:val="00352C78"/>
    <w:rsid w:val="00353118"/>
    <w:rsid w:val="003534D7"/>
    <w:rsid w:val="003538E7"/>
    <w:rsid w:val="00353F21"/>
    <w:rsid w:val="0035425F"/>
    <w:rsid w:val="00354504"/>
    <w:rsid w:val="00354AD8"/>
    <w:rsid w:val="003558E6"/>
    <w:rsid w:val="003562E3"/>
    <w:rsid w:val="00360C86"/>
    <w:rsid w:val="00360E85"/>
    <w:rsid w:val="003627FF"/>
    <w:rsid w:val="00362B2E"/>
    <w:rsid w:val="003632CE"/>
    <w:rsid w:val="00363434"/>
    <w:rsid w:val="0036458C"/>
    <w:rsid w:val="00364648"/>
    <w:rsid w:val="00365B3C"/>
    <w:rsid w:val="00366A04"/>
    <w:rsid w:val="0036740F"/>
    <w:rsid w:val="00371353"/>
    <w:rsid w:val="00371A2F"/>
    <w:rsid w:val="00372825"/>
    <w:rsid w:val="00372A86"/>
    <w:rsid w:val="00373D6B"/>
    <w:rsid w:val="0037405E"/>
    <w:rsid w:val="0037548D"/>
    <w:rsid w:val="00376401"/>
    <w:rsid w:val="00377B06"/>
    <w:rsid w:val="00381C6E"/>
    <w:rsid w:val="00381F3A"/>
    <w:rsid w:val="0038252E"/>
    <w:rsid w:val="00383FBA"/>
    <w:rsid w:val="003848F4"/>
    <w:rsid w:val="00387ECF"/>
    <w:rsid w:val="00390DF2"/>
    <w:rsid w:val="00392788"/>
    <w:rsid w:val="00392A93"/>
    <w:rsid w:val="003933AC"/>
    <w:rsid w:val="003956F5"/>
    <w:rsid w:val="0039592A"/>
    <w:rsid w:val="003A095B"/>
    <w:rsid w:val="003A128D"/>
    <w:rsid w:val="003A2CA3"/>
    <w:rsid w:val="003A315D"/>
    <w:rsid w:val="003A3B63"/>
    <w:rsid w:val="003A3DBA"/>
    <w:rsid w:val="003A5D56"/>
    <w:rsid w:val="003A6C7D"/>
    <w:rsid w:val="003A7984"/>
    <w:rsid w:val="003B1685"/>
    <w:rsid w:val="003B293E"/>
    <w:rsid w:val="003B33BB"/>
    <w:rsid w:val="003B479B"/>
    <w:rsid w:val="003B6D11"/>
    <w:rsid w:val="003B7302"/>
    <w:rsid w:val="003C113F"/>
    <w:rsid w:val="003C19B1"/>
    <w:rsid w:val="003C26CA"/>
    <w:rsid w:val="003C2F82"/>
    <w:rsid w:val="003C47F1"/>
    <w:rsid w:val="003C514E"/>
    <w:rsid w:val="003C72B4"/>
    <w:rsid w:val="003D0692"/>
    <w:rsid w:val="003D0BFE"/>
    <w:rsid w:val="003D0F02"/>
    <w:rsid w:val="003D108F"/>
    <w:rsid w:val="003D396F"/>
    <w:rsid w:val="003D40E1"/>
    <w:rsid w:val="003D41A2"/>
    <w:rsid w:val="003D4424"/>
    <w:rsid w:val="003D446C"/>
    <w:rsid w:val="003D475E"/>
    <w:rsid w:val="003D4A8D"/>
    <w:rsid w:val="003D4B7C"/>
    <w:rsid w:val="003D5660"/>
    <w:rsid w:val="003D5BC6"/>
    <w:rsid w:val="003D6251"/>
    <w:rsid w:val="003D6767"/>
    <w:rsid w:val="003D70C5"/>
    <w:rsid w:val="003D70FC"/>
    <w:rsid w:val="003D7D2A"/>
    <w:rsid w:val="003E176F"/>
    <w:rsid w:val="003E1A14"/>
    <w:rsid w:val="003E2A66"/>
    <w:rsid w:val="003E2EAA"/>
    <w:rsid w:val="003E35D5"/>
    <w:rsid w:val="003E3F69"/>
    <w:rsid w:val="003E41ED"/>
    <w:rsid w:val="003E4D90"/>
    <w:rsid w:val="003E5126"/>
    <w:rsid w:val="003E5322"/>
    <w:rsid w:val="003E5441"/>
    <w:rsid w:val="003E6C40"/>
    <w:rsid w:val="003E7491"/>
    <w:rsid w:val="003E77FC"/>
    <w:rsid w:val="003E7C51"/>
    <w:rsid w:val="003F0D71"/>
    <w:rsid w:val="003F2AD4"/>
    <w:rsid w:val="003F48DB"/>
    <w:rsid w:val="003F5A71"/>
    <w:rsid w:val="003F5E3E"/>
    <w:rsid w:val="003F5E98"/>
    <w:rsid w:val="003F6236"/>
    <w:rsid w:val="003F6429"/>
    <w:rsid w:val="003F7492"/>
    <w:rsid w:val="0040080B"/>
    <w:rsid w:val="004013FE"/>
    <w:rsid w:val="004018EB"/>
    <w:rsid w:val="00402F5D"/>
    <w:rsid w:val="00404E0D"/>
    <w:rsid w:val="00404E9F"/>
    <w:rsid w:val="00404FA8"/>
    <w:rsid w:val="004055EE"/>
    <w:rsid w:val="004071EF"/>
    <w:rsid w:val="00407291"/>
    <w:rsid w:val="00413E41"/>
    <w:rsid w:val="00416B05"/>
    <w:rsid w:val="004201B5"/>
    <w:rsid w:val="00421A9C"/>
    <w:rsid w:val="0042204F"/>
    <w:rsid w:val="00422405"/>
    <w:rsid w:val="0042280B"/>
    <w:rsid w:val="00422D77"/>
    <w:rsid w:val="004240EE"/>
    <w:rsid w:val="0042790F"/>
    <w:rsid w:val="004307BC"/>
    <w:rsid w:val="004314CC"/>
    <w:rsid w:val="00431D27"/>
    <w:rsid w:val="004330A9"/>
    <w:rsid w:val="00433D4F"/>
    <w:rsid w:val="00434B9A"/>
    <w:rsid w:val="004352C4"/>
    <w:rsid w:val="004357B7"/>
    <w:rsid w:val="00435F9D"/>
    <w:rsid w:val="00437A7B"/>
    <w:rsid w:val="00440DE1"/>
    <w:rsid w:val="004415C1"/>
    <w:rsid w:val="00441C1C"/>
    <w:rsid w:val="00441EB3"/>
    <w:rsid w:val="004420ED"/>
    <w:rsid w:val="00442744"/>
    <w:rsid w:val="00442B0E"/>
    <w:rsid w:val="00442DE2"/>
    <w:rsid w:val="00443C9C"/>
    <w:rsid w:val="0044550D"/>
    <w:rsid w:val="00445FAD"/>
    <w:rsid w:val="00446ABD"/>
    <w:rsid w:val="00446BE7"/>
    <w:rsid w:val="00450A1F"/>
    <w:rsid w:val="00452BD8"/>
    <w:rsid w:val="00452D36"/>
    <w:rsid w:val="00453379"/>
    <w:rsid w:val="0045657F"/>
    <w:rsid w:val="00456F99"/>
    <w:rsid w:val="004578DE"/>
    <w:rsid w:val="00460BE8"/>
    <w:rsid w:val="00460CDC"/>
    <w:rsid w:val="00461211"/>
    <w:rsid w:val="00462197"/>
    <w:rsid w:val="004635C5"/>
    <w:rsid w:val="00465D8E"/>
    <w:rsid w:val="0046603C"/>
    <w:rsid w:val="0046611A"/>
    <w:rsid w:val="00466743"/>
    <w:rsid w:val="004669AB"/>
    <w:rsid w:val="00466B58"/>
    <w:rsid w:val="0047097C"/>
    <w:rsid w:val="00470DB0"/>
    <w:rsid w:val="00470F08"/>
    <w:rsid w:val="00473BA7"/>
    <w:rsid w:val="00474350"/>
    <w:rsid w:val="00476365"/>
    <w:rsid w:val="004812EB"/>
    <w:rsid w:val="00483448"/>
    <w:rsid w:val="00483539"/>
    <w:rsid w:val="00483E2D"/>
    <w:rsid w:val="0048464A"/>
    <w:rsid w:val="00485CDD"/>
    <w:rsid w:val="00485D0D"/>
    <w:rsid w:val="00487244"/>
    <w:rsid w:val="004879A8"/>
    <w:rsid w:val="00487A71"/>
    <w:rsid w:val="004906C0"/>
    <w:rsid w:val="00491089"/>
    <w:rsid w:val="00491BBD"/>
    <w:rsid w:val="00492A3A"/>
    <w:rsid w:val="0049445B"/>
    <w:rsid w:val="00495D59"/>
    <w:rsid w:val="00495E22"/>
    <w:rsid w:val="004965ED"/>
    <w:rsid w:val="00497373"/>
    <w:rsid w:val="004973F1"/>
    <w:rsid w:val="004979F9"/>
    <w:rsid w:val="00497A4D"/>
    <w:rsid w:val="00497A53"/>
    <w:rsid w:val="004A1C9F"/>
    <w:rsid w:val="004A1CFE"/>
    <w:rsid w:val="004A3B0D"/>
    <w:rsid w:val="004A503C"/>
    <w:rsid w:val="004A56E6"/>
    <w:rsid w:val="004A5A2C"/>
    <w:rsid w:val="004A633C"/>
    <w:rsid w:val="004A6CA0"/>
    <w:rsid w:val="004A7500"/>
    <w:rsid w:val="004A7E12"/>
    <w:rsid w:val="004B1EEE"/>
    <w:rsid w:val="004B56AB"/>
    <w:rsid w:val="004B65C2"/>
    <w:rsid w:val="004B710E"/>
    <w:rsid w:val="004B7BA7"/>
    <w:rsid w:val="004C139F"/>
    <w:rsid w:val="004C14DB"/>
    <w:rsid w:val="004C1564"/>
    <w:rsid w:val="004C1730"/>
    <w:rsid w:val="004C230B"/>
    <w:rsid w:val="004C2F87"/>
    <w:rsid w:val="004C5F87"/>
    <w:rsid w:val="004C6F35"/>
    <w:rsid w:val="004D024F"/>
    <w:rsid w:val="004D1617"/>
    <w:rsid w:val="004D1B63"/>
    <w:rsid w:val="004D2298"/>
    <w:rsid w:val="004D30E5"/>
    <w:rsid w:val="004D33C7"/>
    <w:rsid w:val="004D36E6"/>
    <w:rsid w:val="004D3C1F"/>
    <w:rsid w:val="004D5453"/>
    <w:rsid w:val="004D5A24"/>
    <w:rsid w:val="004D61B4"/>
    <w:rsid w:val="004D61E0"/>
    <w:rsid w:val="004D6A07"/>
    <w:rsid w:val="004D749E"/>
    <w:rsid w:val="004D7617"/>
    <w:rsid w:val="004D7EF9"/>
    <w:rsid w:val="004E0BFA"/>
    <w:rsid w:val="004E17A8"/>
    <w:rsid w:val="004E1E46"/>
    <w:rsid w:val="004E2277"/>
    <w:rsid w:val="004E27FD"/>
    <w:rsid w:val="004E30C4"/>
    <w:rsid w:val="004E3213"/>
    <w:rsid w:val="004E37C0"/>
    <w:rsid w:val="004E54D9"/>
    <w:rsid w:val="004E71FC"/>
    <w:rsid w:val="004E78C4"/>
    <w:rsid w:val="004E7B16"/>
    <w:rsid w:val="004F06A5"/>
    <w:rsid w:val="004F09C0"/>
    <w:rsid w:val="004F1C7D"/>
    <w:rsid w:val="004F203A"/>
    <w:rsid w:val="004F2E64"/>
    <w:rsid w:val="004F3085"/>
    <w:rsid w:val="004F30DF"/>
    <w:rsid w:val="004F3218"/>
    <w:rsid w:val="004F468F"/>
    <w:rsid w:val="004F4EC0"/>
    <w:rsid w:val="004F5E79"/>
    <w:rsid w:val="004F66CF"/>
    <w:rsid w:val="004F6941"/>
    <w:rsid w:val="004F72BA"/>
    <w:rsid w:val="004F7511"/>
    <w:rsid w:val="004F7519"/>
    <w:rsid w:val="005001BD"/>
    <w:rsid w:val="0050080F"/>
    <w:rsid w:val="00500E98"/>
    <w:rsid w:val="00501378"/>
    <w:rsid w:val="00503369"/>
    <w:rsid w:val="00503AC3"/>
    <w:rsid w:val="00504C6C"/>
    <w:rsid w:val="005072D2"/>
    <w:rsid w:val="005075EF"/>
    <w:rsid w:val="0050762D"/>
    <w:rsid w:val="005104E0"/>
    <w:rsid w:val="0051102F"/>
    <w:rsid w:val="00513958"/>
    <w:rsid w:val="00513EB6"/>
    <w:rsid w:val="00514597"/>
    <w:rsid w:val="005146BF"/>
    <w:rsid w:val="00515CCC"/>
    <w:rsid w:val="005165B8"/>
    <w:rsid w:val="00521792"/>
    <w:rsid w:val="00522E92"/>
    <w:rsid w:val="0052447B"/>
    <w:rsid w:val="00524729"/>
    <w:rsid w:val="00524767"/>
    <w:rsid w:val="00524DE0"/>
    <w:rsid w:val="00525228"/>
    <w:rsid w:val="005254F1"/>
    <w:rsid w:val="00526656"/>
    <w:rsid w:val="005270DA"/>
    <w:rsid w:val="00530488"/>
    <w:rsid w:val="005307F6"/>
    <w:rsid w:val="00530B48"/>
    <w:rsid w:val="00531018"/>
    <w:rsid w:val="005319A8"/>
    <w:rsid w:val="005320E7"/>
    <w:rsid w:val="005325AC"/>
    <w:rsid w:val="00533666"/>
    <w:rsid w:val="005360FF"/>
    <w:rsid w:val="00541449"/>
    <w:rsid w:val="005415F3"/>
    <w:rsid w:val="00543D97"/>
    <w:rsid w:val="005446DA"/>
    <w:rsid w:val="00544AA2"/>
    <w:rsid w:val="00544E93"/>
    <w:rsid w:val="0054603D"/>
    <w:rsid w:val="0054664F"/>
    <w:rsid w:val="0055166F"/>
    <w:rsid w:val="00552178"/>
    <w:rsid w:val="0055391A"/>
    <w:rsid w:val="0055422B"/>
    <w:rsid w:val="00556512"/>
    <w:rsid w:val="00556593"/>
    <w:rsid w:val="005608DD"/>
    <w:rsid w:val="00560F0A"/>
    <w:rsid w:val="00561CA4"/>
    <w:rsid w:val="00561DBA"/>
    <w:rsid w:val="00562148"/>
    <w:rsid w:val="00563560"/>
    <w:rsid w:val="00563CE6"/>
    <w:rsid w:val="00564C9F"/>
    <w:rsid w:val="005700D7"/>
    <w:rsid w:val="005711B3"/>
    <w:rsid w:val="00571BFA"/>
    <w:rsid w:val="0057333D"/>
    <w:rsid w:val="00576301"/>
    <w:rsid w:val="005773F0"/>
    <w:rsid w:val="00577FCC"/>
    <w:rsid w:val="00581123"/>
    <w:rsid w:val="0058129A"/>
    <w:rsid w:val="005816D8"/>
    <w:rsid w:val="00582055"/>
    <w:rsid w:val="00582411"/>
    <w:rsid w:val="00582807"/>
    <w:rsid w:val="0058300A"/>
    <w:rsid w:val="00583A76"/>
    <w:rsid w:val="00584762"/>
    <w:rsid w:val="00585B2B"/>
    <w:rsid w:val="0058679E"/>
    <w:rsid w:val="00587411"/>
    <w:rsid w:val="0058752B"/>
    <w:rsid w:val="00587865"/>
    <w:rsid w:val="00587B98"/>
    <w:rsid w:val="00590794"/>
    <w:rsid w:val="00590AD1"/>
    <w:rsid w:val="00591012"/>
    <w:rsid w:val="005928F2"/>
    <w:rsid w:val="0059298C"/>
    <w:rsid w:val="0059332D"/>
    <w:rsid w:val="005936B4"/>
    <w:rsid w:val="005939D2"/>
    <w:rsid w:val="00593A03"/>
    <w:rsid w:val="005A2EEE"/>
    <w:rsid w:val="005A4B3E"/>
    <w:rsid w:val="005A4DCA"/>
    <w:rsid w:val="005A560A"/>
    <w:rsid w:val="005A5C87"/>
    <w:rsid w:val="005A69FF"/>
    <w:rsid w:val="005A79AD"/>
    <w:rsid w:val="005B018F"/>
    <w:rsid w:val="005B0867"/>
    <w:rsid w:val="005B0F25"/>
    <w:rsid w:val="005B1919"/>
    <w:rsid w:val="005B3243"/>
    <w:rsid w:val="005B592C"/>
    <w:rsid w:val="005B611F"/>
    <w:rsid w:val="005B6593"/>
    <w:rsid w:val="005B667B"/>
    <w:rsid w:val="005B7157"/>
    <w:rsid w:val="005B72B0"/>
    <w:rsid w:val="005C01DD"/>
    <w:rsid w:val="005C0B50"/>
    <w:rsid w:val="005C1940"/>
    <w:rsid w:val="005C2035"/>
    <w:rsid w:val="005C3611"/>
    <w:rsid w:val="005C4210"/>
    <w:rsid w:val="005C484E"/>
    <w:rsid w:val="005C4B5C"/>
    <w:rsid w:val="005C5745"/>
    <w:rsid w:val="005C62B9"/>
    <w:rsid w:val="005C6B66"/>
    <w:rsid w:val="005C79CE"/>
    <w:rsid w:val="005C7F26"/>
    <w:rsid w:val="005D0016"/>
    <w:rsid w:val="005D0EC1"/>
    <w:rsid w:val="005D1ABF"/>
    <w:rsid w:val="005D1D6D"/>
    <w:rsid w:val="005D4072"/>
    <w:rsid w:val="005D62DD"/>
    <w:rsid w:val="005D6ED1"/>
    <w:rsid w:val="005D7101"/>
    <w:rsid w:val="005D78FA"/>
    <w:rsid w:val="005D7955"/>
    <w:rsid w:val="005E02B3"/>
    <w:rsid w:val="005E060F"/>
    <w:rsid w:val="005E1961"/>
    <w:rsid w:val="005E1CBB"/>
    <w:rsid w:val="005E2A1B"/>
    <w:rsid w:val="005E34D6"/>
    <w:rsid w:val="005E3D72"/>
    <w:rsid w:val="005E44BE"/>
    <w:rsid w:val="005E46F4"/>
    <w:rsid w:val="005E50FC"/>
    <w:rsid w:val="005E574E"/>
    <w:rsid w:val="005E6435"/>
    <w:rsid w:val="005E7D25"/>
    <w:rsid w:val="005F16DB"/>
    <w:rsid w:val="005F1F06"/>
    <w:rsid w:val="005F2A9C"/>
    <w:rsid w:val="005F6098"/>
    <w:rsid w:val="005F62BA"/>
    <w:rsid w:val="005F6973"/>
    <w:rsid w:val="005F71D8"/>
    <w:rsid w:val="00600A38"/>
    <w:rsid w:val="00601C17"/>
    <w:rsid w:val="00601C5C"/>
    <w:rsid w:val="0060402C"/>
    <w:rsid w:val="00604148"/>
    <w:rsid w:val="00604798"/>
    <w:rsid w:val="00604C3B"/>
    <w:rsid w:val="006050CA"/>
    <w:rsid w:val="006056E8"/>
    <w:rsid w:val="0060775D"/>
    <w:rsid w:val="00610C97"/>
    <w:rsid w:val="00612126"/>
    <w:rsid w:val="006135D2"/>
    <w:rsid w:val="00613713"/>
    <w:rsid w:val="006146AF"/>
    <w:rsid w:val="00614B2B"/>
    <w:rsid w:val="0061779D"/>
    <w:rsid w:val="00617B81"/>
    <w:rsid w:val="00617CA2"/>
    <w:rsid w:val="00620A5E"/>
    <w:rsid w:val="006228A5"/>
    <w:rsid w:val="006305A8"/>
    <w:rsid w:val="00631445"/>
    <w:rsid w:val="006321C7"/>
    <w:rsid w:val="006325A0"/>
    <w:rsid w:val="00632E4C"/>
    <w:rsid w:val="00633F18"/>
    <w:rsid w:val="0063469C"/>
    <w:rsid w:val="006348B2"/>
    <w:rsid w:val="00635E4A"/>
    <w:rsid w:val="006361D7"/>
    <w:rsid w:val="00636587"/>
    <w:rsid w:val="00637011"/>
    <w:rsid w:val="00637153"/>
    <w:rsid w:val="00637F3A"/>
    <w:rsid w:val="00640058"/>
    <w:rsid w:val="006418EF"/>
    <w:rsid w:val="00642691"/>
    <w:rsid w:val="00643B50"/>
    <w:rsid w:val="00644E0C"/>
    <w:rsid w:val="006451E8"/>
    <w:rsid w:val="006458A7"/>
    <w:rsid w:val="00646AA2"/>
    <w:rsid w:val="0064702B"/>
    <w:rsid w:val="00650AE2"/>
    <w:rsid w:val="00653562"/>
    <w:rsid w:val="00655C9E"/>
    <w:rsid w:val="00655DCF"/>
    <w:rsid w:val="00655EFA"/>
    <w:rsid w:val="006562B4"/>
    <w:rsid w:val="00656305"/>
    <w:rsid w:val="006564B3"/>
    <w:rsid w:val="00656BD1"/>
    <w:rsid w:val="00660AC1"/>
    <w:rsid w:val="00661685"/>
    <w:rsid w:val="006621A4"/>
    <w:rsid w:val="0066241C"/>
    <w:rsid w:val="006630B5"/>
    <w:rsid w:val="00663707"/>
    <w:rsid w:val="00663EF9"/>
    <w:rsid w:val="00664594"/>
    <w:rsid w:val="00664605"/>
    <w:rsid w:val="00664A5B"/>
    <w:rsid w:val="0066602F"/>
    <w:rsid w:val="006674FB"/>
    <w:rsid w:val="006676CF"/>
    <w:rsid w:val="00670597"/>
    <w:rsid w:val="006712A4"/>
    <w:rsid w:val="00672B82"/>
    <w:rsid w:val="0067341E"/>
    <w:rsid w:val="00673E1A"/>
    <w:rsid w:val="00674813"/>
    <w:rsid w:val="006748DA"/>
    <w:rsid w:val="00674B05"/>
    <w:rsid w:val="006818A2"/>
    <w:rsid w:val="00682317"/>
    <w:rsid w:val="00683C19"/>
    <w:rsid w:val="00684167"/>
    <w:rsid w:val="0068442D"/>
    <w:rsid w:val="006846F1"/>
    <w:rsid w:val="00687F1C"/>
    <w:rsid w:val="006902E5"/>
    <w:rsid w:val="0069167A"/>
    <w:rsid w:val="0069286D"/>
    <w:rsid w:val="00692D66"/>
    <w:rsid w:val="00692EB8"/>
    <w:rsid w:val="00693158"/>
    <w:rsid w:val="00693D8B"/>
    <w:rsid w:val="00693F74"/>
    <w:rsid w:val="00696BDA"/>
    <w:rsid w:val="00696D7A"/>
    <w:rsid w:val="00697528"/>
    <w:rsid w:val="0069780A"/>
    <w:rsid w:val="00697D8B"/>
    <w:rsid w:val="006A04C3"/>
    <w:rsid w:val="006A073A"/>
    <w:rsid w:val="006A0AEF"/>
    <w:rsid w:val="006A10F8"/>
    <w:rsid w:val="006A2DF2"/>
    <w:rsid w:val="006A3DCC"/>
    <w:rsid w:val="006A5564"/>
    <w:rsid w:val="006A583B"/>
    <w:rsid w:val="006A5A27"/>
    <w:rsid w:val="006A5C6E"/>
    <w:rsid w:val="006A6188"/>
    <w:rsid w:val="006A68C1"/>
    <w:rsid w:val="006B0016"/>
    <w:rsid w:val="006B0C98"/>
    <w:rsid w:val="006B0CED"/>
    <w:rsid w:val="006B1F8D"/>
    <w:rsid w:val="006B23B8"/>
    <w:rsid w:val="006B4D93"/>
    <w:rsid w:val="006B4FF7"/>
    <w:rsid w:val="006B5123"/>
    <w:rsid w:val="006B5861"/>
    <w:rsid w:val="006B595B"/>
    <w:rsid w:val="006B6189"/>
    <w:rsid w:val="006B6329"/>
    <w:rsid w:val="006B65F6"/>
    <w:rsid w:val="006B6B65"/>
    <w:rsid w:val="006B7989"/>
    <w:rsid w:val="006C1979"/>
    <w:rsid w:val="006C2171"/>
    <w:rsid w:val="006C2733"/>
    <w:rsid w:val="006C4FBF"/>
    <w:rsid w:val="006C4FDF"/>
    <w:rsid w:val="006C5069"/>
    <w:rsid w:val="006C6761"/>
    <w:rsid w:val="006C7BFC"/>
    <w:rsid w:val="006D0437"/>
    <w:rsid w:val="006D0AB0"/>
    <w:rsid w:val="006D112D"/>
    <w:rsid w:val="006D194B"/>
    <w:rsid w:val="006D1ACA"/>
    <w:rsid w:val="006D30CF"/>
    <w:rsid w:val="006D31BB"/>
    <w:rsid w:val="006D4266"/>
    <w:rsid w:val="006D4B24"/>
    <w:rsid w:val="006D5A66"/>
    <w:rsid w:val="006D5F0C"/>
    <w:rsid w:val="006D61BB"/>
    <w:rsid w:val="006D61E3"/>
    <w:rsid w:val="006D6C6B"/>
    <w:rsid w:val="006D7460"/>
    <w:rsid w:val="006D75FE"/>
    <w:rsid w:val="006E0173"/>
    <w:rsid w:val="006E0AD1"/>
    <w:rsid w:val="006E1246"/>
    <w:rsid w:val="006E2557"/>
    <w:rsid w:val="006E36A9"/>
    <w:rsid w:val="006E4E90"/>
    <w:rsid w:val="006E5169"/>
    <w:rsid w:val="006E52A3"/>
    <w:rsid w:val="006E6E9B"/>
    <w:rsid w:val="006E764C"/>
    <w:rsid w:val="006E782F"/>
    <w:rsid w:val="006F068F"/>
    <w:rsid w:val="006F1D33"/>
    <w:rsid w:val="006F253B"/>
    <w:rsid w:val="006F29AE"/>
    <w:rsid w:val="006F52B3"/>
    <w:rsid w:val="006F5CD7"/>
    <w:rsid w:val="006F62CC"/>
    <w:rsid w:val="006F7CC9"/>
    <w:rsid w:val="0070015E"/>
    <w:rsid w:val="007002FD"/>
    <w:rsid w:val="0070069D"/>
    <w:rsid w:val="007007F4"/>
    <w:rsid w:val="00700E1E"/>
    <w:rsid w:val="00702E41"/>
    <w:rsid w:val="007036F7"/>
    <w:rsid w:val="007037A0"/>
    <w:rsid w:val="007041E1"/>
    <w:rsid w:val="007044AE"/>
    <w:rsid w:val="007054B1"/>
    <w:rsid w:val="00705745"/>
    <w:rsid w:val="00705BDE"/>
    <w:rsid w:val="007062F7"/>
    <w:rsid w:val="007065A7"/>
    <w:rsid w:val="00706CC6"/>
    <w:rsid w:val="00706DDF"/>
    <w:rsid w:val="00710D5A"/>
    <w:rsid w:val="00711623"/>
    <w:rsid w:val="007119E2"/>
    <w:rsid w:val="007125BA"/>
    <w:rsid w:val="007147C6"/>
    <w:rsid w:val="0071583E"/>
    <w:rsid w:val="007160EF"/>
    <w:rsid w:val="00716196"/>
    <w:rsid w:val="00716FD7"/>
    <w:rsid w:val="00717506"/>
    <w:rsid w:val="00720628"/>
    <w:rsid w:val="00721A03"/>
    <w:rsid w:val="00723182"/>
    <w:rsid w:val="00723880"/>
    <w:rsid w:val="00725082"/>
    <w:rsid w:val="007266A9"/>
    <w:rsid w:val="00726A13"/>
    <w:rsid w:val="00731AA4"/>
    <w:rsid w:val="00731F70"/>
    <w:rsid w:val="0073233A"/>
    <w:rsid w:val="007325ED"/>
    <w:rsid w:val="007338ED"/>
    <w:rsid w:val="00733CF6"/>
    <w:rsid w:val="00733EB3"/>
    <w:rsid w:val="007346A4"/>
    <w:rsid w:val="007359D7"/>
    <w:rsid w:val="00735FA2"/>
    <w:rsid w:val="007364B3"/>
    <w:rsid w:val="007365F1"/>
    <w:rsid w:val="00741F68"/>
    <w:rsid w:val="007420D4"/>
    <w:rsid w:val="00745137"/>
    <w:rsid w:val="0074573F"/>
    <w:rsid w:val="00745EB8"/>
    <w:rsid w:val="00745EE9"/>
    <w:rsid w:val="00747105"/>
    <w:rsid w:val="007473AD"/>
    <w:rsid w:val="00747541"/>
    <w:rsid w:val="00747A7C"/>
    <w:rsid w:val="00750EEE"/>
    <w:rsid w:val="007520A0"/>
    <w:rsid w:val="007521EA"/>
    <w:rsid w:val="007522D0"/>
    <w:rsid w:val="0075250C"/>
    <w:rsid w:val="007527DA"/>
    <w:rsid w:val="007535A9"/>
    <w:rsid w:val="00754B18"/>
    <w:rsid w:val="007556D6"/>
    <w:rsid w:val="00755F62"/>
    <w:rsid w:val="00756347"/>
    <w:rsid w:val="0076023D"/>
    <w:rsid w:val="007608C3"/>
    <w:rsid w:val="00761144"/>
    <w:rsid w:val="0076369C"/>
    <w:rsid w:val="00763A64"/>
    <w:rsid w:val="007641AB"/>
    <w:rsid w:val="00764ABD"/>
    <w:rsid w:val="00764C35"/>
    <w:rsid w:val="007661B3"/>
    <w:rsid w:val="00766403"/>
    <w:rsid w:val="00766E13"/>
    <w:rsid w:val="007674CB"/>
    <w:rsid w:val="0077013C"/>
    <w:rsid w:val="007705D5"/>
    <w:rsid w:val="007709D8"/>
    <w:rsid w:val="0077143F"/>
    <w:rsid w:val="00771FA3"/>
    <w:rsid w:val="00772571"/>
    <w:rsid w:val="0077363B"/>
    <w:rsid w:val="00773740"/>
    <w:rsid w:val="00774DF0"/>
    <w:rsid w:val="0077538B"/>
    <w:rsid w:val="0077542D"/>
    <w:rsid w:val="00775CB6"/>
    <w:rsid w:val="007760F2"/>
    <w:rsid w:val="007809CE"/>
    <w:rsid w:val="00781CF2"/>
    <w:rsid w:val="00781D95"/>
    <w:rsid w:val="007823E0"/>
    <w:rsid w:val="00783CEA"/>
    <w:rsid w:val="00783CEF"/>
    <w:rsid w:val="00785BE0"/>
    <w:rsid w:val="00786936"/>
    <w:rsid w:val="00786A61"/>
    <w:rsid w:val="00786BE4"/>
    <w:rsid w:val="007870BF"/>
    <w:rsid w:val="007906E3"/>
    <w:rsid w:val="007909F7"/>
    <w:rsid w:val="00791B32"/>
    <w:rsid w:val="007921B1"/>
    <w:rsid w:val="00792340"/>
    <w:rsid w:val="007936DD"/>
    <w:rsid w:val="00793F8D"/>
    <w:rsid w:val="00794AF2"/>
    <w:rsid w:val="007960ED"/>
    <w:rsid w:val="00796141"/>
    <w:rsid w:val="007A13D8"/>
    <w:rsid w:val="007A2768"/>
    <w:rsid w:val="007A2E32"/>
    <w:rsid w:val="007A3968"/>
    <w:rsid w:val="007A55E4"/>
    <w:rsid w:val="007A6A98"/>
    <w:rsid w:val="007A71F6"/>
    <w:rsid w:val="007A77CD"/>
    <w:rsid w:val="007A7B49"/>
    <w:rsid w:val="007A7D4E"/>
    <w:rsid w:val="007B0664"/>
    <w:rsid w:val="007B100E"/>
    <w:rsid w:val="007B1808"/>
    <w:rsid w:val="007B1B18"/>
    <w:rsid w:val="007B236E"/>
    <w:rsid w:val="007B4EEC"/>
    <w:rsid w:val="007B5DC5"/>
    <w:rsid w:val="007B600B"/>
    <w:rsid w:val="007B61C2"/>
    <w:rsid w:val="007B667E"/>
    <w:rsid w:val="007B6910"/>
    <w:rsid w:val="007B768E"/>
    <w:rsid w:val="007C1210"/>
    <w:rsid w:val="007C251F"/>
    <w:rsid w:val="007C3262"/>
    <w:rsid w:val="007C33BA"/>
    <w:rsid w:val="007C3ECD"/>
    <w:rsid w:val="007C52A3"/>
    <w:rsid w:val="007C622D"/>
    <w:rsid w:val="007C7017"/>
    <w:rsid w:val="007D04E9"/>
    <w:rsid w:val="007D0619"/>
    <w:rsid w:val="007D19D7"/>
    <w:rsid w:val="007D2D89"/>
    <w:rsid w:val="007D2E45"/>
    <w:rsid w:val="007D2FE0"/>
    <w:rsid w:val="007D3CB0"/>
    <w:rsid w:val="007D4C7E"/>
    <w:rsid w:val="007E01C1"/>
    <w:rsid w:val="007E09E6"/>
    <w:rsid w:val="007E1E40"/>
    <w:rsid w:val="007E215D"/>
    <w:rsid w:val="007E533D"/>
    <w:rsid w:val="007E5A62"/>
    <w:rsid w:val="007E5AF8"/>
    <w:rsid w:val="007E735C"/>
    <w:rsid w:val="007E77A7"/>
    <w:rsid w:val="007E7B4A"/>
    <w:rsid w:val="007F1D63"/>
    <w:rsid w:val="007F34F5"/>
    <w:rsid w:val="007F3619"/>
    <w:rsid w:val="007F3FF6"/>
    <w:rsid w:val="007F5E5D"/>
    <w:rsid w:val="007F65AA"/>
    <w:rsid w:val="007F6D6D"/>
    <w:rsid w:val="007F70D2"/>
    <w:rsid w:val="007F793D"/>
    <w:rsid w:val="007F7D9B"/>
    <w:rsid w:val="008006DB"/>
    <w:rsid w:val="008007A7"/>
    <w:rsid w:val="00800ADB"/>
    <w:rsid w:val="00800C40"/>
    <w:rsid w:val="008017DB"/>
    <w:rsid w:val="00801D2F"/>
    <w:rsid w:val="00801FA2"/>
    <w:rsid w:val="00802160"/>
    <w:rsid w:val="0080411E"/>
    <w:rsid w:val="0080565C"/>
    <w:rsid w:val="00805D1F"/>
    <w:rsid w:val="0080626F"/>
    <w:rsid w:val="0080732B"/>
    <w:rsid w:val="00811677"/>
    <w:rsid w:val="00811BDC"/>
    <w:rsid w:val="00812C1A"/>
    <w:rsid w:val="00814AC9"/>
    <w:rsid w:val="00814ED3"/>
    <w:rsid w:val="0081651D"/>
    <w:rsid w:val="00816851"/>
    <w:rsid w:val="00817E93"/>
    <w:rsid w:val="008201A8"/>
    <w:rsid w:val="00820429"/>
    <w:rsid w:val="00820753"/>
    <w:rsid w:val="0082076F"/>
    <w:rsid w:val="008208FF"/>
    <w:rsid w:val="00820ECD"/>
    <w:rsid w:val="00821769"/>
    <w:rsid w:val="008222EC"/>
    <w:rsid w:val="00822593"/>
    <w:rsid w:val="00822A18"/>
    <w:rsid w:val="00822D3F"/>
    <w:rsid w:val="0082442D"/>
    <w:rsid w:val="0082552A"/>
    <w:rsid w:val="00825D72"/>
    <w:rsid w:val="00825F9B"/>
    <w:rsid w:val="00826709"/>
    <w:rsid w:val="00826767"/>
    <w:rsid w:val="00826CDA"/>
    <w:rsid w:val="00831554"/>
    <w:rsid w:val="008330FD"/>
    <w:rsid w:val="00833152"/>
    <w:rsid w:val="00833FC2"/>
    <w:rsid w:val="0083492F"/>
    <w:rsid w:val="00835019"/>
    <w:rsid w:val="008351A1"/>
    <w:rsid w:val="008351D2"/>
    <w:rsid w:val="00835531"/>
    <w:rsid w:val="0083672A"/>
    <w:rsid w:val="0083696B"/>
    <w:rsid w:val="008375CF"/>
    <w:rsid w:val="00840514"/>
    <w:rsid w:val="00840C58"/>
    <w:rsid w:val="008418CB"/>
    <w:rsid w:val="008419AF"/>
    <w:rsid w:val="0084219C"/>
    <w:rsid w:val="0084258B"/>
    <w:rsid w:val="0084286F"/>
    <w:rsid w:val="00844112"/>
    <w:rsid w:val="00844A04"/>
    <w:rsid w:val="00844AD9"/>
    <w:rsid w:val="00847C4E"/>
    <w:rsid w:val="0085096A"/>
    <w:rsid w:val="00850E2A"/>
    <w:rsid w:val="008510CE"/>
    <w:rsid w:val="00852000"/>
    <w:rsid w:val="0085254E"/>
    <w:rsid w:val="0085268F"/>
    <w:rsid w:val="00852C59"/>
    <w:rsid w:val="00852E58"/>
    <w:rsid w:val="008536CC"/>
    <w:rsid w:val="00854E83"/>
    <w:rsid w:val="008560FD"/>
    <w:rsid w:val="00856717"/>
    <w:rsid w:val="00856807"/>
    <w:rsid w:val="00856EE7"/>
    <w:rsid w:val="00857078"/>
    <w:rsid w:val="0085729D"/>
    <w:rsid w:val="00857959"/>
    <w:rsid w:val="00860481"/>
    <w:rsid w:val="00861F95"/>
    <w:rsid w:val="00862679"/>
    <w:rsid w:val="008633B9"/>
    <w:rsid w:val="008635F6"/>
    <w:rsid w:val="0086366D"/>
    <w:rsid w:val="0086561D"/>
    <w:rsid w:val="00866FD7"/>
    <w:rsid w:val="00867187"/>
    <w:rsid w:val="008676A3"/>
    <w:rsid w:val="008679ED"/>
    <w:rsid w:val="00870C8D"/>
    <w:rsid w:val="00871445"/>
    <w:rsid w:val="008716A3"/>
    <w:rsid w:val="00872946"/>
    <w:rsid w:val="00873482"/>
    <w:rsid w:val="00874B14"/>
    <w:rsid w:val="00874EC4"/>
    <w:rsid w:val="0087518A"/>
    <w:rsid w:val="00875992"/>
    <w:rsid w:val="008759B4"/>
    <w:rsid w:val="00875C88"/>
    <w:rsid w:val="00875D2A"/>
    <w:rsid w:val="008761A7"/>
    <w:rsid w:val="008763B1"/>
    <w:rsid w:val="00880A22"/>
    <w:rsid w:val="0088102B"/>
    <w:rsid w:val="008814D8"/>
    <w:rsid w:val="00881F7A"/>
    <w:rsid w:val="0088261D"/>
    <w:rsid w:val="008834CD"/>
    <w:rsid w:val="008839B0"/>
    <w:rsid w:val="008843BC"/>
    <w:rsid w:val="00884A34"/>
    <w:rsid w:val="00884B23"/>
    <w:rsid w:val="0088516C"/>
    <w:rsid w:val="00885A83"/>
    <w:rsid w:val="0088663B"/>
    <w:rsid w:val="00887898"/>
    <w:rsid w:val="008900C0"/>
    <w:rsid w:val="008924C8"/>
    <w:rsid w:val="00892942"/>
    <w:rsid w:val="00892AAC"/>
    <w:rsid w:val="008950C8"/>
    <w:rsid w:val="00895315"/>
    <w:rsid w:val="00897F65"/>
    <w:rsid w:val="008A0CD8"/>
    <w:rsid w:val="008A2657"/>
    <w:rsid w:val="008A2B57"/>
    <w:rsid w:val="008A2BB7"/>
    <w:rsid w:val="008A313A"/>
    <w:rsid w:val="008A3AF1"/>
    <w:rsid w:val="008A41C9"/>
    <w:rsid w:val="008A60C7"/>
    <w:rsid w:val="008A63AC"/>
    <w:rsid w:val="008A66DC"/>
    <w:rsid w:val="008A6C27"/>
    <w:rsid w:val="008A734B"/>
    <w:rsid w:val="008B0916"/>
    <w:rsid w:val="008B0F13"/>
    <w:rsid w:val="008B12B7"/>
    <w:rsid w:val="008B1B8A"/>
    <w:rsid w:val="008B1FFE"/>
    <w:rsid w:val="008B2736"/>
    <w:rsid w:val="008B3818"/>
    <w:rsid w:val="008B4712"/>
    <w:rsid w:val="008B671F"/>
    <w:rsid w:val="008B6FC0"/>
    <w:rsid w:val="008B7E2B"/>
    <w:rsid w:val="008C00E3"/>
    <w:rsid w:val="008C0842"/>
    <w:rsid w:val="008C0B23"/>
    <w:rsid w:val="008C2191"/>
    <w:rsid w:val="008C370A"/>
    <w:rsid w:val="008C4BFB"/>
    <w:rsid w:val="008C5A4B"/>
    <w:rsid w:val="008C6FEE"/>
    <w:rsid w:val="008C71FC"/>
    <w:rsid w:val="008C739F"/>
    <w:rsid w:val="008C74F4"/>
    <w:rsid w:val="008C7CC3"/>
    <w:rsid w:val="008D0BBD"/>
    <w:rsid w:val="008D33CD"/>
    <w:rsid w:val="008D3C99"/>
    <w:rsid w:val="008D470B"/>
    <w:rsid w:val="008D5182"/>
    <w:rsid w:val="008D6D2A"/>
    <w:rsid w:val="008E10C4"/>
    <w:rsid w:val="008E1198"/>
    <w:rsid w:val="008E1A30"/>
    <w:rsid w:val="008E225F"/>
    <w:rsid w:val="008E5542"/>
    <w:rsid w:val="008F1413"/>
    <w:rsid w:val="008F1418"/>
    <w:rsid w:val="008F15F1"/>
    <w:rsid w:val="008F2F43"/>
    <w:rsid w:val="008F4847"/>
    <w:rsid w:val="008F51B2"/>
    <w:rsid w:val="008F5C9B"/>
    <w:rsid w:val="008F60B0"/>
    <w:rsid w:val="008F69CD"/>
    <w:rsid w:val="008F7A4A"/>
    <w:rsid w:val="0090028F"/>
    <w:rsid w:val="009008D2"/>
    <w:rsid w:val="0090194A"/>
    <w:rsid w:val="00901ED3"/>
    <w:rsid w:val="00905713"/>
    <w:rsid w:val="00905D44"/>
    <w:rsid w:val="00905DA5"/>
    <w:rsid w:val="00906AFD"/>
    <w:rsid w:val="00907416"/>
    <w:rsid w:val="00907547"/>
    <w:rsid w:val="00907E88"/>
    <w:rsid w:val="0091078F"/>
    <w:rsid w:val="00910D5F"/>
    <w:rsid w:val="009111F7"/>
    <w:rsid w:val="00913C3C"/>
    <w:rsid w:val="00914660"/>
    <w:rsid w:val="009149F4"/>
    <w:rsid w:val="009153F7"/>
    <w:rsid w:val="00915533"/>
    <w:rsid w:val="00916043"/>
    <w:rsid w:val="0091657E"/>
    <w:rsid w:val="00922BAA"/>
    <w:rsid w:val="009248FC"/>
    <w:rsid w:val="0092497A"/>
    <w:rsid w:val="0092582C"/>
    <w:rsid w:val="00925C01"/>
    <w:rsid w:val="00925C6B"/>
    <w:rsid w:val="00925FDB"/>
    <w:rsid w:val="009269D8"/>
    <w:rsid w:val="00927E38"/>
    <w:rsid w:val="00931444"/>
    <w:rsid w:val="00932D41"/>
    <w:rsid w:val="00933A6E"/>
    <w:rsid w:val="00933E57"/>
    <w:rsid w:val="009344AE"/>
    <w:rsid w:val="0093579A"/>
    <w:rsid w:val="00936913"/>
    <w:rsid w:val="00937694"/>
    <w:rsid w:val="00940A49"/>
    <w:rsid w:val="00941A8F"/>
    <w:rsid w:val="00942712"/>
    <w:rsid w:val="00944CD3"/>
    <w:rsid w:val="009458AE"/>
    <w:rsid w:val="0094626D"/>
    <w:rsid w:val="009470C5"/>
    <w:rsid w:val="00950448"/>
    <w:rsid w:val="0095178D"/>
    <w:rsid w:val="00954320"/>
    <w:rsid w:val="009551F3"/>
    <w:rsid w:val="009552FC"/>
    <w:rsid w:val="009555C9"/>
    <w:rsid w:val="009557D2"/>
    <w:rsid w:val="00956A8B"/>
    <w:rsid w:val="00956AC5"/>
    <w:rsid w:val="009570C0"/>
    <w:rsid w:val="0095719B"/>
    <w:rsid w:val="00960357"/>
    <w:rsid w:val="009609A2"/>
    <w:rsid w:val="009610E3"/>
    <w:rsid w:val="0096237C"/>
    <w:rsid w:val="009623E7"/>
    <w:rsid w:val="00962C2D"/>
    <w:rsid w:val="00964075"/>
    <w:rsid w:val="009646D3"/>
    <w:rsid w:val="00964923"/>
    <w:rsid w:val="00965E45"/>
    <w:rsid w:val="0096613E"/>
    <w:rsid w:val="00966D00"/>
    <w:rsid w:val="009675C4"/>
    <w:rsid w:val="009675E6"/>
    <w:rsid w:val="00972138"/>
    <w:rsid w:val="00977E03"/>
    <w:rsid w:val="00981362"/>
    <w:rsid w:val="00982523"/>
    <w:rsid w:val="009838FB"/>
    <w:rsid w:val="00983C0C"/>
    <w:rsid w:val="00983F28"/>
    <w:rsid w:val="00985E92"/>
    <w:rsid w:val="00986197"/>
    <w:rsid w:val="00987620"/>
    <w:rsid w:val="0099008E"/>
    <w:rsid w:val="009902D2"/>
    <w:rsid w:val="0099051F"/>
    <w:rsid w:val="00991C0E"/>
    <w:rsid w:val="0099272E"/>
    <w:rsid w:val="00992E54"/>
    <w:rsid w:val="00993A5C"/>
    <w:rsid w:val="00993E82"/>
    <w:rsid w:val="0099459B"/>
    <w:rsid w:val="0099603D"/>
    <w:rsid w:val="0099653B"/>
    <w:rsid w:val="009969E2"/>
    <w:rsid w:val="00996ACE"/>
    <w:rsid w:val="009A04F4"/>
    <w:rsid w:val="009A0734"/>
    <w:rsid w:val="009A0BFC"/>
    <w:rsid w:val="009A0C9C"/>
    <w:rsid w:val="009A217D"/>
    <w:rsid w:val="009A2EF0"/>
    <w:rsid w:val="009A325D"/>
    <w:rsid w:val="009A37A5"/>
    <w:rsid w:val="009A4234"/>
    <w:rsid w:val="009A52EA"/>
    <w:rsid w:val="009A6FFA"/>
    <w:rsid w:val="009A72CC"/>
    <w:rsid w:val="009B0C96"/>
    <w:rsid w:val="009B0DB8"/>
    <w:rsid w:val="009B1763"/>
    <w:rsid w:val="009B1D0E"/>
    <w:rsid w:val="009B213D"/>
    <w:rsid w:val="009B36E7"/>
    <w:rsid w:val="009B4F81"/>
    <w:rsid w:val="009B7522"/>
    <w:rsid w:val="009C09FA"/>
    <w:rsid w:val="009C19A6"/>
    <w:rsid w:val="009C2341"/>
    <w:rsid w:val="009C2895"/>
    <w:rsid w:val="009C2A20"/>
    <w:rsid w:val="009C2A67"/>
    <w:rsid w:val="009C2D48"/>
    <w:rsid w:val="009C2EF5"/>
    <w:rsid w:val="009C31D1"/>
    <w:rsid w:val="009C4083"/>
    <w:rsid w:val="009C4948"/>
    <w:rsid w:val="009C5247"/>
    <w:rsid w:val="009C559A"/>
    <w:rsid w:val="009C5E4A"/>
    <w:rsid w:val="009C6D9F"/>
    <w:rsid w:val="009C6FF6"/>
    <w:rsid w:val="009C705C"/>
    <w:rsid w:val="009C7A4E"/>
    <w:rsid w:val="009D00D4"/>
    <w:rsid w:val="009D0463"/>
    <w:rsid w:val="009D132D"/>
    <w:rsid w:val="009D167C"/>
    <w:rsid w:val="009D2028"/>
    <w:rsid w:val="009D22DC"/>
    <w:rsid w:val="009D4E92"/>
    <w:rsid w:val="009D5171"/>
    <w:rsid w:val="009D6143"/>
    <w:rsid w:val="009D62C6"/>
    <w:rsid w:val="009E03A9"/>
    <w:rsid w:val="009E052E"/>
    <w:rsid w:val="009E0762"/>
    <w:rsid w:val="009E18AB"/>
    <w:rsid w:val="009E1ADF"/>
    <w:rsid w:val="009E2A6E"/>
    <w:rsid w:val="009E3916"/>
    <w:rsid w:val="009E4CF9"/>
    <w:rsid w:val="009E53B7"/>
    <w:rsid w:val="009E5FB1"/>
    <w:rsid w:val="009F09AC"/>
    <w:rsid w:val="009F2C1B"/>
    <w:rsid w:val="009F3F6A"/>
    <w:rsid w:val="009F4FAE"/>
    <w:rsid w:val="009F4FB3"/>
    <w:rsid w:val="009F5DEB"/>
    <w:rsid w:val="009F7A36"/>
    <w:rsid w:val="00A01946"/>
    <w:rsid w:val="00A0254D"/>
    <w:rsid w:val="00A02F8D"/>
    <w:rsid w:val="00A04577"/>
    <w:rsid w:val="00A046BD"/>
    <w:rsid w:val="00A05FCF"/>
    <w:rsid w:val="00A06564"/>
    <w:rsid w:val="00A06C60"/>
    <w:rsid w:val="00A0713C"/>
    <w:rsid w:val="00A07CA6"/>
    <w:rsid w:val="00A10B97"/>
    <w:rsid w:val="00A1175F"/>
    <w:rsid w:val="00A11E49"/>
    <w:rsid w:val="00A11EFD"/>
    <w:rsid w:val="00A13748"/>
    <w:rsid w:val="00A13AA4"/>
    <w:rsid w:val="00A16CC9"/>
    <w:rsid w:val="00A176B5"/>
    <w:rsid w:val="00A20A5A"/>
    <w:rsid w:val="00A21988"/>
    <w:rsid w:val="00A22A54"/>
    <w:rsid w:val="00A23DC1"/>
    <w:rsid w:val="00A240EC"/>
    <w:rsid w:val="00A24D0E"/>
    <w:rsid w:val="00A25C6F"/>
    <w:rsid w:val="00A25E6B"/>
    <w:rsid w:val="00A26175"/>
    <w:rsid w:val="00A26382"/>
    <w:rsid w:val="00A269F6"/>
    <w:rsid w:val="00A31606"/>
    <w:rsid w:val="00A3193F"/>
    <w:rsid w:val="00A33197"/>
    <w:rsid w:val="00A3443E"/>
    <w:rsid w:val="00A35BC7"/>
    <w:rsid w:val="00A41434"/>
    <w:rsid w:val="00A424CE"/>
    <w:rsid w:val="00A42C73"/>
    <w:rsid w:val="00A42E27"/>
    <w:rsid w:val="00A43182"/>
    <w:rsid w:val="00A435FE"/>
    <w:rsid w:val="00A43901"/>
    <w:rsid w:val="00A44067"/>
    <w:rsid w:val="00A46A68"/>
    <w:rsid w:val="00A4750D"/>
    <w:rsid w:val="00A50490"/>
    <w:rsid w:val="00A52B04"/>
    <w:rsid w:val="00A530A1"/>
    <w:rsid w:val="00A5469A"/>
    <w:rsid w:val="00A54A4D"/>
    <w:rsid w:val="00A557AD"/>
    <w:rsid w:val="00A5605C"/>
    <w:rsid w:val="00A56530"/>
    <w:rsid w:val="00A57598"/>
    <w:rsid w:val="00A57BA9"/>
    <w:rsid w:val="00A60205"/>
    <w:rsid w:val="00A623E0"/>
    <w:rsid w:val="00A6291A"/>
    <w:rsid w:val="00A62E35"/>
    <w:rsid w:val="00A631C4"/>
    <w:rsid w:val="00A63360"/>
    <w:rsid w:val="00A635AC"/>
    <w:rsid w:val="00A63EB3"/>
    <w:rsid w:val="00A64790"/>
    <w:rsid w:val="00A669A7"/>
    <w:rsid w:val="00A67A80"/>
    <w:rsid w:val="00A712C2"/>
    <w:rsid w:val="00A71698"/>
    <w:rsid w:val="00A7175A"/>
    <w:rsid w:val="00A71E28"/>
    <w:rsid w:val="00A7220A"/>
    <w:rsid w:val="00A72612"/>
    <w:rsid w:val="00A72FF2"/>
    <w:rsid w:val="00A74123"/>
    <w:rsid w:val="00A757B1"/>
    <w:rsid w:val="00A75FDD"/>
    <w:rsid w:val="00A7612E"/>
    <w:rsid w:val="00A77B72"/>
    <w:rsid w:val="00A82242"/>
    <w:rsid w:val="00A825A7"/>
    <w:rsid w:val="00A82611"/>
    <w:rsid w:val="00A84693"/>
    <w:rsid w:val="00A86102"/>
    <w:rsid w:val="00A864DB"/>
    <w:rsid w:val="00A86B4E"/>
    <w:rsid w:val="00A86F81"/>
    <w:rsid w:val="00A87282"/>
    <w:rsid w:val="00A909E7"/>
    <w:rsid w:val="00A90A68"/>
    <w:rsid w:val="00A921E4"/>
    <w:rsid w:val="00A92CD2"/>
    <w:rsid w:val="00A9334C"/>
    <w:rsid w:val="00A9643C"/>
    <w:rsid w:val="00A967B5"/>
    <w:rsid w:val="00AA029A"/>
    <w:rsid w:val="00AA0732"/>
    <w:rsid w:val="00AA12E8"/>
    <w:rsid w:val="00AA300D"/>
    <w:rsid w:val="00AA4B12"/>
    <w:rsid w:val="00AA5744"/>
    <w:rsid w:val="00AA65DD"/>
    <w:rsid w:val="00AA7BE9"/>
    <w:rsid w:val="00AB0341"/>
    <w:rsid w:val="00AB1583"/>
    <w:rsid w:val="00AB1800"/>
    <w:rsid w:val="00AB39A6"/>
    <w:rsid w:val="00AB3C73"/>
    <w:rsid w:val="00AB5922"/>
    <w:rsid w:val="00AB61AC"/>
    <w:rsid w:val="00AB6D95"/>
    <w:rsid w:val="00AC10FC"/>
    <w:rsid w:val="00AC1983"/>
    <w:rsid w:val="00AC30D7"/>
    <w:rsid w:val="00AC386E"/>
    <w:rsid w:val="00AC4D5D"/>
    <w:rsid w:val="00AC517E"/>
    <w:rsid w:val="00AC55CB"/>
    <w:rsid w:val="00AC5E37"/>
    <w:rsid w:val="00AC6AB2"/>
    <w:rsid w:val="00AC6C90"/>
    <w:rsid w:val="00AD0DFD"/>
    <w:rsid w:val="00AD16D1"/>
    <w:rsid w:val="00AD1969"/>
    <w:rsid w:val="00AD2BF6"/>
    <w:rsid w:val="00AD4B83"/>
    <w:rsid w:val="00AD5A9A"/>
    <w:rsid w:val="00AD5EA2"/>
    <w:rsid w:val="00AD61E8"/>
    <w:rsid w:val="00AD6CE2"/>
    <w:rsid w:val="00AD7CEC"/>
    <w:rsid w:val="00AE0042"/>
    <w:rsid w:val="00AE00B9"/>
    <w:rsid w:val="00AE0850"/>
    <w:rsid w:val="00AE1290"/>
    <w:rsid w:val="00AE17B5"/>
    <w:rsid w:val="00AE1BFD"/>
    <w:rsid w:val="00AE1F94"/>
    <w:rsid w:val="00AE2281"/>
    <w:rsid w:val="00AE2E78"/>
    <w:rsid w:val="00AE3B8E"/>
    <w:rsid w:val="00AE406E"/>
    <w:rsid w:val="00AE41CE"/>
    <w:rsid w:val="00AE4B7E"/>
    <w:rsid w:val="00AE51FA"/>
    <w:rsid w:val="00AE79D8"/>
    <w:rsid w:val="00AE7C4D"/>
    <w:rsid w:val="00AF1725"/>
    <w:rsid w:val="00AF1B04"/>
    <w:rsid w:val="00AF4C8F"/>
    <w:rsid w:val="00AF5BA5"/>
    <w:rsid w:val="00AF6B20"/>
    <w:rsid w:val="00AF6E0C"/>
    <w:rsid w:val="00AF7140"/>
    <w:rsid w:val="00B006C7"/>
    <w:rsid w:val="00B01E48"/>
    <w:rsid w:val="00B0267F"/>
    <w:rsid w:val="00B04657"/>
    <w:rsid w:val="00B04D65"/>
    <w:rsid w:val="00B053CD"/>
    <w:rsid w:val="00B053F8"/>
    <w:rsid w:val="00B063D5"/>
    <w:rsid w:val="00B07C10"/>
    <w:rsid w:val="00B07FB7"/>
    <w:rsid w:val="00B1092B"/>
    <w:rsid w:val="00B10F2E"/>
    <w:rsid w:val="00B11032"/>
    <w:rsid w:val="00B12C08"/>
    <w:rsid w:val="00B13E1D"/>
    <w:rsid w:val="00B13EEF"/>
    <w:rsid w:val="00B15173"/>
    <w:rsid w:val="00B15305"/>
    <w:rsid w:val="00B1544E"/>
    <w:rsid w:val="00B16188"/>
    <w:rsid w:val="00B161CE"/>
    <w:rsid w:val="00B16204"/>
    <w:rsid w:val="00B169CE"/>
    <w:rsid w:val="00B1709F"/>
    <w:rsid w:val="00B20C09"/>
    <w:rsid w:val="00B21405"/>
    <w:rsid w:val="00B22738"/>
    <w:rsid w:val="00B23AA6"/>
    <w:rsid w:val="00B24F52"/>
    <w:rsid w:val="00B30324"/>
    <w:rsid w:val="00B303ED"/>
    <w:rsid w:val="00B304B4"/>
    <w:rsid w:val="00B32425"/>
    <w:rsid w:val="00B32D32"/>
    <w:rsid w:val="00B32E9F"/>
    <w:rsid w:val="00B332FD"/>
    <w:rsid w:val="00B33F1B"/>
    <w:rsid w:val="00B3453C"/>
    <w:rsid w:val="00B3484C"/>
    <w:rsid w:val="00B34B6E"/>
    <w:rsid w:val="00B34C3F"/>
    <w:rsid w:val="00B35C56"/>
    <w:rsid w:val="00B370CD"/>
    <w:rsid w:val="00B37BE5"/>
    <w:rsid w:val="00B401E6"/>
    <w:rsid w:val="00B40BAA"/>
    <w:rsid w:val="00B4261E"/>
    <w:rsid w:val="00B43EE3"/>
    <w:rsid w:val="00B44B8E"/>
    <w:rsid w:val="00B45284"/>
    <w:rsid w:val="00B45302"/>
    <w:rsid w:val="00B4533C"/>
    <w:rsid w:val="00B456BD"/>
    <w:rsid w:val="00B45746"/>
    <w:rsid w:val="00B46074"/>
    <w:rsid w:val="00B46413"/>
    <w:rsid w:val="00B50E41"/>
    <w:rsid w:val="00B51256"/>
    <w:rsid w:val="00B51D85"/>
    <w:rsid w:val="00B52496"/>
    <w:rsid w:val="00B54D73"/>
    <w:rsid w:val="00B553B0"/>
    <w:rsid w:val="00B5549B"/>
    <w:rsid w:val="00B56CD7"/>
    <w:rsid w:val="00B56D75"/>
    <w:rsid w:val="00B56E9F"/>
    <w:rsid w:val="00B57C8F"/>
    <w:rsid w:val="00B611B9"/>
    <w:rsid w:val="00B613E5"/>
    <w:rsid w:val="00B61ED6"/>
    <w:rsid w:val="00B63792"/>
    <w:rsid w:val="00B63AEB"/>
    <w:rsid w:val="00B662F9"/>
    <w:rsid w:val="00B668BF"/>
    <w:rsid w:val="00B6709F"/>
    <w:rsid w:val="00B671E7"/>
    <w:rsid w:val="00B705CB"/>
    <w:rsid w:val="00B7073E"/>
    <w:rsid w:val="00B711F4"/>
    <w:rsid w:val="00B71567"/>
    <w:rsid w:val="00B71EF6"/>
    <w:rsid w:val="00B7215B"/>
    <w:rsid w:val="00B7335D"/>
    <w:rsid w:val="00B756B8"/>
    <w:rsid w:val="00B76B00"/>
    <w:rsid w:val="00B778E6"/>
    <w:rsid w:val="00B77D89"/>
    <w:rsid w:val="00B80931"/>
    <w:rsid w:val="00B80A12"/>
    <w:rsid w:val="00B80CC7"/>
    <w:rsid w:val="00B819CB"/>
    <w:rsid w:val="00B81A66"/>
    <w:rsid w:val="00B82848"/>
    <w:rsid w:val="00B829A6"/>
    <w:rsid w:val="00B8354B"/>
    <w:rsid w:val="00B83A8D"/>
    <w:rsid w:val="00B86B6F"/>
    <w:rsid w:val="00B870EB"/>
    <w:rsid w:val="00B872C7"/>
    <w:rsid w:val="00B877C9"/>
    <w:rsid w:val="00B902A3"/>
    <w:rsid w:val="00B9068E"/>
    <w:rsid w:val="00B9090F"/>
    <w:rsid w:val="00B90951"/>
    <w:rsid w:val="00B916BB"/>
    <w:rsid w:val="00B9190B"/>
    <w:rsid w:val="00B91FA9"/>
    <w:rsid w:val="00B92D93"/>
    <w:rsid w:val="00B96D71"/>
    <w:rsid w:val="00B97218"/>
    <w:rsid w:val="00B97E85"/>
    <w:rsid w:val="00BA164E"/>
    <w:rsid w:val="00BA2354"/>
    <w:rsid w:val="00BA26A5"/>
    <w:rsid w:val="00BA277D"/>
    <w:rsid w:val="00BA493F"/>
    <w:rsid w:val="00BA5190"/>
    <w:rsid w:val="00BA5591"/>
    <w:rsid w:val="00BA5A89"/>
    <w:rsid w:val="00BA5FAD"/>
    <w:rsid w:val="00BA6D3B"/>
    <w:rsid w:val="00BA73BA"/>
    <w:rsid w:val="00BB1622"/>
    <w:rsid w:val="00BB2075"/>
    <w:rsid w:val="00BB20E6"/>
    <w:rsid w:val="00BB2667"/>
    <w:rsid w:val="00BB308F"/>
    <w:rsid w:val="00BB33CA"/>
    <w:rsid w:val="00BB43F6"/>
    <w:rsid w:val="00BB4988"/>
    <w:rsid w:val="00BB4B55"/>
    <w:rsid w:val="00BB5AD2"/>
    <w:rsid w:val="00BB6D60"/>
    <w:rsid w:val="00BB6EEF"/>
    <w:rsid w:val="00BB73C7"/>
    <w:rsid w:val="00BB79C4"/>
    <w:rsid w:val="00BC08A9"/>
    <w:rsid w:val="00BC09E3"/>
    <w:rsid w:val="00BC0F93"/>
    <w:rsid w:val="00BC1CBC"/>
    <w:rsid w:val="00BC237F"/>
    <w:rsid w:val="00BC4068"/>
    <w:rsid w:val="00BC5AE7"/>
    <w:rsid w:val="00BC5B9E"/>
    <w:rsid w:val="00BC682D"/>
    <w:rsid w:val="00BC6E2B"/>
    <w:rsid w:val="00BD010B"/>
    <w:rsid w:val="00BD0123"/>
    <w:rsid w:val="00BD05C9"/>
    <w:rsid w:val="00BD120D"/>
    <w:rsid w:val="00BD1488"/>
    <w:rsid w:val="00BD17FB"/>
    <w:rsid w:val="00BD20CB"/>
    <w:rsid w:val="00BD2416"/>
    <w:rsid w:val="00BD2641"/>
    <w:rsid w:val="00BD28A7"/>
    <w:rsid w:val="00BD2A41"/>
    <w:rsid w:val="00BD313B"/>
    <w:rsid w:val="00BD3A2E"/>
    <w:rsid w:val="00BD6000"/>
    <w:rsid w:val="00BD6367"/>
    <w:rsid w:val="00BD6FA5"/>
    <w:rsid w:val="00BD72B3"/>
    <w:rsid w:val="00BD7ABD"/>
    <w:rsid w:val="00BD7CE2"/>
    <w:rsid w:val="00BD7E4B"/>
    <w:rsid w:val="00BE0236"/>
    <w:rsid w:val="00BE08BB"/>
    <w:rsid w:val="00BE0AA5"/>
    <w:rsid w:val="00BE5786"/>
    <w:rsid w:val="00BE642A"/>
    <w:rsid w:val="00BE7A19"/>
    <w:rsid w:val="00BF0BEC"/>
    <w:rsid w:val="00BF0C68"/>
    <w:rsid w:val="00BF20EE"/>
    <w:rsid w:val="00BF2E02"/>
    <w:rsid w:val="00BF3A4A"/>
    <w:rsid w:val="00BF5619"/>
    <w:rsid w:val="00BF5A31"/>
    <w:rsid w:val="00BF5BEF"/>
    <w:rsid w:val="00BF5D6D"/>
    <w:rsid w:val="00BF716B"/>
    <w:rsid w:val="00BF79A0"/>
    <w:rsid w:val="00C008F5"/>
    <w:rsid w:val="00C00D4A"/>
    <w:rsid w:val="00C0172B"/>
    <w:rsid w:val="00C028DE"/>
    <w:rsid w:val="00C03153"/>
    <w:rsid w:val="00C0415B"/>
    <w:rsid w:val="00C04286"/>
    <w:rsid w:val="00C052D8"/>
    <w:rsid w:val="00C05D31"/>
    <w:rsid w:val="00C07E34"/>
    <w:rsid w:val="00C10A76"/>
    <w:rsid w:val="00C10B31"/>
    <w:rsid w:val="00C10B94"/>
    <w:rsid w:val="00C11C27"/>
    <w:rsid w:val="00C127D2"/>
    <w:rsid w:val="00C13E3D"/>
    <w:rsid w:val="00C13EC7"/>
    <w:rsid w:val="00C147DD"/>
    <w:rsid w:val="00C16A67"/>
    <w:rsid w:val="00C16D88"/>
    <w:rsid w:val="00C1774A"/>
    <w:rsid w:val="00C17E27"/>
    <w:rsid w:val="00C2212B"/>
    <w:rsid w:val="00C22149"/>
    <w:rsid w:val="00C23084"/>
    <w:rsid w:val="00C23594"/>
    <w:rsid w:val="00C23DBD"/>
    <w:rsid w:val="00C24768"/>
    <w:rsid w:val="00C259B0"/>
    <w:rsid w:val="00C27219"/>
    <w:rsid w:val="00C274BE"/>
    <w:rsid w:val="00C2786A"/>
    <w:rsid w:val="00C30022"/>
    <w:rsid w:val="00C3077A"/>
    <w:rsid w:val="00C30E46"/>
    <w:rsid w:val="00C313BD"/>
    <w:rsid w:val="00C31787"/>
    <w:rsid w:val="00C3282A"/>
    <w:rsid w:val="00C32BBC"/>
    <w:rsid w:val="00C32C67"/>
    <w:rsid w:val="00C32FE7"/>
    <w:rsid w:val="00C338A9"/>
    <w:rsid w:val="00C33C81"/>
    <w:rsid w:val="00C36505"/>
    <w:rsid w:val="00C3701E"/>
    <w:rsid w:val="00C40328"/>
    <w:rsid w:val="00C42040"/>
    <w:rsid w:val="00C420ED"/>
    <w:rsid w:val="00C44C1E"/>
    <w:rsid w:val="00C458FE"/>
    <w:rsid w:val="00C460A5"/>
    <w:rsid w:val="00C47D2A"/>
    <w:rsid w:val="00C51F7E"/>
    <w:rsid w:val="00C52043"/>
    <w:rsid w:val="00C52A5A"/>
    <w:rsid w:val="00C53019"/>
    <w:rsid w:val="00C543CF"/>
    <w:rsid w:val="00C5488D"/>
    <w:rsid w:val="00C54C80"/>
    <w:rsid w:val="00C55E29"/>
    <w:rsid w:val="00C5694B"/>
    <w:rsid w:val="00C574B4"/>
    <w:rsid w:val="00C576F5"/>
    <w:rsid w:val="00C57D4F"/>
    <w:rsid w:val="00C60256"/>
    <w:rsid w:val="00C609E1"/>
    <w:rsid w:val="00C62AC2"/>
    <w:rsid w:val="00C62D22"/>
    <w:rsid w:val="00C64617"/>
    <w:rsid w:val="00C663AE"/>
    <w:rsid w:val="00C663BC"/>
    <w:rsid w:val="00C6649F"/>
    <w:rsid w:val="00C66B61"/>
    <w:rsid w:val="00C670CC"/>
    <w:rsid w:val="00C6753F"/>
    <w:rsid w:val="00C679A8"/>
    <w:rsid w:val="00C721F2"/>
    <w:rsid w:val="00C729BC"/>
    <w:rsid w:val="00C740A6"/>
    <w:rsid w:val="00C7555E"/>
    <w:rsid w:val="00C76908"/>
    <w:rsid w:val="00C774FC"/>
    <w:rsid w:val="00C80627"/>
    <w:rsid w:val="00C809AD"/>
    <w:rsid w:val="00C80BC7"/>
    <w:rsid w:val="00C84C45"/>
    <w:rsid w:val="00C85198"/>
    <w:rsid w:val="00C85581"/>
    <w:rsid w:val="00C85778"/>
    <w:rsid w:val="00C85931"/>
    <w:rsid w:val="00C85FB6"/>
    <w:rsid w:val="00C86875"/>
    <w:rsid w:val="00C86A0B"/>
    <w:rsid w:val="00C86F5B"/>
    <w:rsid w:val="00C90C5B"/>
    <w:rsid w:val="00C91047"/>
    <w:rsid w:val="00C918A2"/>
    <w:rsid w:val="00C91C83"/>
    <w:rsid w:val="00C93861"/>
    <w:rsid w:val="00C93C10"/>
    <w:rsid w:val="00C93CEA"/>
    <w:rsid w:val="00C957EC"/>
    <w:rsid w:val="00C96C28"/>
    <w:rsid w:val="00C9703B"/>
    <w:rsid w:val="00C97466"/>
    <w:rsid w:val="00CA0BA0"/>
    <w:rsid w:val="00CA293D"/>
    <w:rsid w:val="00CA36BA"/>
    <w:rsid w:val="00CA3D6C"/>
    <w:rsid w:val="00CA5D8C"/>
    <w:rsid w:val="00CA692A"/>
    <w:rsid w:val="00CA6BF3"/>
    <w:rsid w:val="00CA6CE2"/>
    <w:rsid w:val="00CB127C"/>
    <w:rsid w:val="00CB2E82"/>
    <w:rsid w:val="00CB37CB"/>
    <w:rsid w:val="00CB3D18"/>
    <w:rsid w:val="00CB3FB6"/>
    <w:rsid w:val="00CB4709"/>
    <w:rsid w:val="00CB4A4E"/>
    <w:rsid w:val="00CB5181"/>
    <w:rsid w:val="00CB654E"/>
    <w:rsid w:val="00CC1894"/>
    <w:rsid w:val="00CC1CE5"/>
    <w:rsid w:val="00CC1E75"/>
    <w:rsid w:val="00CC1F6A"/>
    <w:rsid w:val="00CC278C"/>
    <w:rsid w:val="00CC371A"/>
    <w:rsid w:val="00CC4B15"/>
    <w:rsid w:val="00CC5C8E"/>
    <w:rsid w:val="00CC6BE1"/>
    <w:rsid w:val="00CC739F"/>
    <w:rsid w:val="00CC74A1"/>
    <w:rsid w:val="00CC7F53"/>
    <w:rsid w:val="00CD0DBD"/>
    <w:rsid w:val="00CD38C1"/>
    <w:rsid w:val="00CD435B"/>
    <w:rsid w:val="00CD4A98"/>
    <w:rsid w:val="00CD6CFB"/>
    <w:rsid w:val="00CD7ED4"/>
    <w:rsid w:val="00CE0C8B"/>
    <w:rsid w:val="00CE0FD1"/>
    <w:rsid w:val="00CE1A00"/>
    <w:rsid w:val="00CE2391"/>
    <w:rsid w:val="00CE26D2"/>
    <w:rsid w:val="00CE2D31"/>
    <w:rsid w:val="00CE3CA4"/>
    <w:rsid w:val="00CE425F"/>
    <w:rsid w:val="00CE4AAF"/>
    <w:rsid w:val="00CE4FA3"/>
    <w:rsid w:val="00CE5315"/>
    <w:rsid w:val="00CE5935"/>
    <w:rsid w:val="00CE6F90"/>
    <w:rsid w:val="00CE763E"/>
    <w:rsid w:val="00CE7A4C"/>
    <w:rsid w:val="00CE7C55"/>
    <w:rsid w:val="00CF0E65"/>
    <w:rsid w:val="00CF0FE4"/>
    <w:rsid w:val="00CF24B8"/>
    <w:rsid w:val="00CF2AB5"/>
    <w:rsid w:val="00CF2B01"/>
    <w:rsid w:val="00CF3B5A"/>
    <w:rsid w:val="00CF51DA"/>
    <w:rsid w:val="00CF5673"/>
    <w:rsid w:val="00CF7EA5"/>
    <w:rsid w:val="00D01551"/>
    <w:rsid w:val="00D017F9"/>
    <w:rsid w:val="00D0291D"/>
    <w:rsid w:val="00D02D26"/>
    <w:rsid w:val="00D038F2"/>
    <w:rsid w:val="00D050A5"/>
    <w:rsid w:val="00D0519E"/>
    <w:rsid w:val="00D058CB"/>
    <w:rsid w:val="00D0593E"/>
    <w:rsid w:val="00D05C01"/>
    <w:rsid w:val="00D05C1D"/>
    <w:rsid w:val="00D065D7"/>
    <w:rsid w:val="00D10242"/>
    <w:rsid w:val="00D104CE"/>
    <w:rsid w:val="00D11898"/>
    <w:rsid w:val="00D11D10"/>
    <w:rsid w:val="00D129AB"/>
    <w:rsid w:val="00D1313A"/>
    <w:rsid w:val="00D14787"/>
    <w:rsid w:val="00D15068"/>
    <w:rsid w:val="00D15C98"/>
    <w:rsid w:val="00D161A0"/>
    <w:rsid w:val="00D163A6"/>
    <w:rsid w:val="00D16524"/>
    <w:rsid w:val="00D17142"/>
    <w:rsid w:val="00D209AC"/>
    <w:rsid w:val="00D2101E"/>
    <w:rsid w:val="00D21420"/>
    <w:rsid w:val="00D22005"/>
    <w:rsid w:val="00D2303D"/>
    <w:rsid w:val="00D23BBF"/>
    <w:rsid w:val="00D23BE7"/>
    <w:rsid w:val="00D24C88"/>
    <w:rsid w:val="00D24FB0"/>
    <w:rsid w:val="00D2540B"/>
    <w:rsid w:val="00D274E1"/>
    <w:rsid w:val="00D27D0F"/>
    <w:rsid w:val="00D30A69"/>
    <w:rsid w:val="00D31329"/>
    <w:rsid w:val="00D33175"/>
    <w:rsid w:val="00D331B6"/>
    <w:rsid w:val="00D338E4"/>
    <w:rsid w:val="00D3599C"/>
    <w:rsid w:val="00D36811"/>
    <w:rsid w:val="00D37D9B"/>
    <w:rsid w:val="00D4015F"/>
    <w:rsid w:val="00D41165"/>
    <w:rsid w:val="00D42B74"/>
    <w:rsid w:val="00D432D1"/>
    <w:rsid w:val="00D456F7"/>
    <w:rsid w:val="00D46B5D"/>
    <w:rsid w:val="00D46BEA"/>
    <w:rsid w:val="00D476F9"/>
    <w:rsid w:val="00D47F83"/>
    <w:rsid w:val="00D5010A"/>
    <w:rsid w:val="00D50245"/>
    <w:rsid w:val="00D5031B"/>
    <w:rsid w:val="00D5155E"/>
    <w:rsid w:val="00D51F05"/>
    <w:rsid w:val="00D53039"/>
    <w:rsid w:val="00D546B3"/>
    <w:rsid w:val="00D54AB9"/>
    <w:rsid w:val="00D55374"/>
    <w:rsid w:val="00D55387"/>
    <w:rsid w:val="00D56D83"/>
    <w:rsid w:val="00D57E15"/>
    <w:rsid w:val="00D57EF4"/>
    <w:rsid w:val="00D6049D"/>
    <w:rsid w:val="00D6075C"/>
    <w:rsid w:val="00D6277C"/>
    <w:rsid w:val="00D62884"/>
    <w:rsid w:val="00D628AC"/>
    <w:rsid w:val="00D62D91"/>
    <w:rsid w:val="00D630FC"/>
    <w:rsid w:val="00D63F7A"/>
    <w:rsid w:val="00D640F2"/>
    <w:rsid w:val="00D650C7"/>
    <w:rsid w:val="00D6540C"/>
    <w:rsid w:val="00D65CE3"/>
    <w:rsid w:val="00D66D21"/>
    <w:rsid w:val="00D712B8"/>
    <w:rsid w:val="00D71EF6"/>
    <w:rsid w:val="00D72249"/>
    <w:rsid w:val="00D73094"/>
    <w:rsid w:val="00D7378B"/>
    <w:rsid w:val="00D73A96"/>
    <w:rsid w:val="00D743E0"/>
    <w:rsid w:val="00D746B9"/>
    <w:rsid w:val="00D759F9"/>
    <w:rsid w:val="00D75BC4"/>
    <w:rsid w:val="00D75C4C"/>
    <w:rsid w:val="00D75E51"/>
    <w:rsid w:val="00D76315"/>
    <w:rsid w:val="00D766B1"/>
    <w:rsid w:val="00D76D7B"/>
    <w:rsid w:val="00D77222"/>
    <w:rsid w:val="00D774F2"/>
    <w:rsid w:val="00D81A0C"/>
    <w:rsid w:val="00D8457E"/>
    <w:rsid w:val="00D848CC"/>
    <w:rsid w:val="00D86A5F"/>
    <w:rsid w:val="00D87F19"/>
    <w:rsid w:val="00D87FA8"/>
    <w:rsid w:val="00D90604"/>
    <w:rsid w:val="00D91358"/>
    <w:rsid w:val="00D9136B"/>
    <w:rsid w:val="00D91426"/>
    <w:rsid w:val="00D92126"/>
    <w:rsid w:val="00D946B1"/>
    <w:rsid w:val="00D94916"/>
    <w:rsid w:val="00D94A71"/>
    <w:rsid w:val="00D955BD"/>
    <w:rsid w:val="00D95EBB"/>
    <w:rsid w:val="00D97011"/>
    <w:rsid w:val="00D9750E"/>
    <w:rsid w:val="00D97D87"/>
    <w:rsid w:val="00DA0828"/>
    <w:rsid w:val="00DA1C73"/>
    <w:rsid w:val="00DA20E2"/>
    <w:rsid w:val="00DA21B6"/>
    <w:rsid w:val="00DA35D6"/>
    <w:rsid w:val="00DA3A12"/>
    <w:rsid w:val="00DA41EF"/>
    <w:rsid w:val="00DA4C6D"/>
    <w:rsid w:val="00DA52E4"/>
    <w:rsid w:val="00DA6BDD"/>
    <w:rsid w:val="00DA7331"/>
    <w:rsid w:val="00DA777E"/>
    <w:rsid w:val="00DA79B3"/>
    <w:rsid w:val="00DB0D54"/>
    <w:rsid w:val="00DB1AC6"/>
    <w:rsid w:val="00DB3A5F"/>
    <w:rsid w:val="00DB3AA4"/>
    <w:rsid w:val="00DB4FF7"/>
    <w:rsid w:val="00DB652D"/>
    <w:rsid w:val="00DB6DD0"/>
    <w:rsid w:val="00DB702E"/>
    <w:rsid w:val="00DB74BE"/>
    <w:rsid w:val="00DC06F8"/>
    <w:rsid w:val="00DC0F54"/>
    <w:rsid w:val="00DC1D30"/>
    <w:rsid w:val="00DC231E"/>
    <w:rsid w:val="00DC2D92"/>
    <w:rsid w:val="00DC3173"/>
    <w:rsid w:val="00DC35EB"/>
    <w:rsid w:val="00DC3B99"/>
    <w:rsid w:val="00DC3FD9"/>
    <w:rsid w:val="00DC4361"/>
    <w:rsid w:val="00DC5294"/>
    <w:rsid w:val="00DC5D9F"/>
    <w:rsid w:val="00DC5F62"/>
    <w:rsid w:val="00DC6D1A"/>
    <w:rsid w:val="00DC6EA9"/>
    <w:rsid w:val="00DC7145"/>
    <w:rsid w:val="00DC745F"/>
    <w:rsid w:val="00DC7AB2"/>
    <w:rsid w:val="00DD0E93"/>
    <w:rsid w:val="00DD1484"/>
    <w:rsid w:val="00DD1A58"/>
    <w:rsid w:val="00DD233F"/>
    <w:rsid w:val="00DD27C3"/>
    <w:rsid w:val="00DD36EA"/>
    <w:rsid w:val="00DD5105"/>
    <w:rsid w:val="00DD5650"/>
    <w:rsid w:val="00DD5D5D"/>
    <w:rsid w:val="00DD66D9"/>
    <w:rsid w:val="00DD66F4"/>
    <w:rsid w:val="00DD721E"/>
    <w:rsid w:val="00DE1160"/>
    <w:rsid w:val="00DE1EA4"/>
    <w:rsid w:val="00DE249A"/>
    <w:rsid w:val="00DE2A22"/>
    <w:rsid w:val="00DE3DD8"/>
    <w:rsid w:val="00DE4860"/>
    <w:rsid w:val="00DE634D"/>
    <w:rsid w:val="00DE77CA"/>
    <w:rsid w:val="00DF0DBC"/>
    <w:rsid w:val="00DF1313"/>
    <w:rsid w:val="00DF1A07"/>
    <w:rsid w:val="00DF2BC2"/>
    <w:rsid w:val="00DF4967"/>
    <w:rsid w:val="00DF49FE"/>
    <w:rsid w:val="00DF51B5"/>
    <w:rsid w:val="00DF5730"/>
    <w:rsid w:val="00DF6E58"/>
    <w:rsid w:val="00DF75BC"/>
    <w:rsid w:val="00DF76EB"/>
    <w:rsid w:val="00DF79D2"/>
    <w:rsid w:val="00DF7EF7"/>
    <w:rsid w:val="00E00EAD"/>
    <w:rsid w:val="00E00F88"/>
    <w:rsid w:val="00E01718"/>
    <w:rsid w:val="00E021C9"/>
    <w:rsid w:val="00E028D3"/>
    <w:rsid w:val="00E048CF"/>
    <w:rsid w:val="00E05297"/>
    <w:rsid w:val="00E053C9"/>
    <w:rsid w:val="00E059DA"/>
    <w:rsid w:val="00E06E2C"/>
    <w:rsid w:val="00E10F24"/>
    <w:rsid w:val="00E115D2"/>
    <w:rsid w:val="00E11FBB"/>
    <w:rsid w:val="00E12BFE"/>
    <w:rsid w:val="00E146DA"/>
    <w:rsid w:val="00E15A62"/>
    <w:rsid w:val="00E20B4E"/>
    <w:rsid w:val="00E22EEF"/>
    <w:rsid w:val="00E24CAC"/>
    <w:rsid w:val="00E26266"/>
    <w:rsid w:val="00E301DD"/>
    <w:rsid w:val="00E319DD"/>
    <w:rsid w:val="00E31A05"/>
    <w:rsid w:val="00E323B5"/>
    <w:rsid w:val="00E33CAD"/>
    <w:rsid w:val="00E3454D"/>
    <w:rsid w:val="00E34D48"/>
    <w:rsid w:val="00E372B5"/>
    <w:rsid w:val="00E37B14"/>
    <w:rsid w:val="00E401C0"/>
    <w:rsid w:val="00E40951"/>
    <w:rsid w:val="00E412BB"/>
    <w:rsid w:val="00E41725"/>
    <w:rsid w:val="00E4188C"/>
    <w:rsid w:val="00E41EF7"/>
    <w:rsid w:val="00E4209D"/>
    <w:rsid w:val="00E4227C"/>
    <w:rsid w:val="00E4250E"/>
    <w:rsid w:val="00E442DC"/>
    <w:rsid w:val="00E4576B"/>
    <w:rsid w:val="00E47432"/>
    <w:rsid w:val="00E51390"/>
    <w:rsid w:val="00E51FFB"/>
    <w:rsid w:val="00E523C0"/>
    <w:rsid w:val="00E53B5A"/>
    <w:rsid w:val="00E54A20"/>
    <w:rsid w:val="00E55F48"/>
    <w:rsid w:val="00E562F8"/>
    <w:rsid w:val="00E564DC"/>
    <w:rsid w:val="00E57DBB"/>
    <w:rsid w:val="00E600AE"/>
    <w:rsid w:val="00E61078"/>
    <w:rsid w:val="00E6305D"/>
    <w:rsid w:val="00E64111"/>
    <w:rsid w:val="00E64AD6"/>
    <w:rsid w:val="00E64B19"/>
    <w:rsid w:val="00E6772A"/>
    <w:rsid w:val="00E67DB8"/>
    <w:rsid w:val="00E70682"/>
    <w:rsid w:val="00E70B0D"/>
    <w:rsid w:val="00E71479"/>
    <w:rsid w:val="00E73492"/>
    <w:rsid w:val="00E735DC"/>
    <w:rsid w:val="00E74592"/>
    <w:rsid w:val="00E7488D"/>
    <w:rsid w:val="00E76063"/>
    <w:rsid w:val="00E762C0"/>
    <w:rsid w:val="00E81343"/>
    <w:rsid w:val="00E8148B"/>
    <w:rsid w:val="00E815DA"/>
    <w:rsid w:val="00E832B1"/>
    <w:rsid w:val="00E8365D"/>
    <w:rsid w:val="00E83CE2"/>
    <w:rsid w:val="00E8444F"/>
    <w:rsid w:val="00E84C9E"/>
    <w:rsid w:val="00E8540F"/>
    <w:rsid w:val="00E86DC5"/>
    <w:rsid w:val="00E86F0C"/>
    <w:rsid w:val="00E8760F"/>
    <w:rsid w:val="00E903CC"/>
    <w:rsid w:val="00E90B35"/>
    <w:rsid w:val="00E90C64"/>
    <w:rsid w:val="00E91353"/>
    <w:rsid w:val="00E931BB"/>
    <w:rsid w:val="00E93CDE"/>
    <w:rsid w:val="00E94B42"/>
    <w:rsid w:val="00E94E4A"/>
    <w:rsid w:val="00E974EE"/>
    <w:rsid w:val="00E97EB0"/>
    <w:rsid w:val="00EA0B04"/>
    <w:rsid w:val="00EA2F33"/>
    <w:rsid w:val="00EA3656"/>
    <w:rsid w:val="00EA3E5E"/>
    <w:rsid w:val="00EA470A"/>
    <w:rsid w:val="00EA6765"/>
    <w:rsid w:val="00EA67AA"/>
    <w:rsid w:val="00EA78E3"/>
    <w:rsid w:val="00EA7E77"/>
    <w:rsid w:val="00EB0068"/>
    <w:rsid w:val="00EB09D0"/>
    <w:rsid w:val="00EB1DC8"/>
    <w:rsid w:val="00EB2832"/>
    <w:rsid w:val="00EB2923"/>
    <w:rsid w:val="00EB6E74"/>
    <w:rsid w:val="00EB7976"/>
    <w:rsid w:val="00EB7E75"/>
    <w:rsid w:val="00EC038B"/>
    <w:rsid w:val="00EC0D8F"/>
    <w:rsid w:val="00EC2558"/>
    <w:rsid w:val="00EC2DA2"/>
    <w:rsid w:val="00EC3085"/>
    <w:rsid w:val="00EC44E2"/>
    <w:rsid w:val="00EC4BE0"/>
    <w:rsid w:val="00EC4E07"/>
    <w:rsid w:val="00EC5E80"/>
    <w:rsid w:val="00EC716F"/>
    <w:rsid w:val="00EC745C"/>
    <w:rsid w:val="00ED1A37"/>
    <w:rsid w:val="00ED1C2D"/>
    <w:rsid w:val="00ED2E81"/>
    <w:rsid w:val="00ED3143"/>
    <w:rsid w:val="00ED31D4"/>
    <w:rsid w:val="00ED3225"/>
    <w:rsid w:val="00ED3949"/>
    <w:rsid w:val="00ED3D21"/>
    <w:rsid w:val="00ED58B7"/>
    <w:rsid w:val="00ED5D87"/>
    <w:rsid w:val="00ED68A6"/>
    <w:rsid w:val="00EE00A0"/>
    <w:rsid w:val="00EE0E4E"/>
    <w:rsid w:val="00EE1485"/>
    <w:rsid w:val="00EE2CB9"/>
    <w:rsid w:val="00EE3D3E"/>
    <w:rsid w:val="00EE4E20"/>
    <w:rsid w:val="00EE4E96"/>
    <w:rsid w:val="00EE50F5"/>
    <w:rsid w:val="00EE5BDA"/>
    <w:rsid w:val="00EE66A5"/>
    <w:rsid w:val="00EE7B2F"/>
    <w:rsid w:val="00EF09DF"/>
    <w:rsid w:val="00EF0B6E"/>
    <w:rsid w:val="00EF0C5B"/>
    <w:rsid w:val="00EF185E"/>
    <w:rsid w:val="00EF3A61"/>
    <w:rsid w:val="00EF3C68"/>
    <w:rsid w:val="00EF43EA"/>
    <w:rsid w:val="00EF441F"/>
    <w:rsid w:val="00EF4BFC"/>
    <w:rsid w:val="00EF6046"/>
    <w:rsid w:val="00EF641F"/>
    <w:rsid w:val="00EF7019"/>
    <w:rsid w:val="00EF741C"/>
    <w:rsid w:val="00EF7D88"/>
    <w:rsid w:val="00F00948"/>
    <w:rsid w:val="00F01501"/>
    <w:rsid w:val="00F015FF"/>
    <w:rsid w:val="00F023A5"/>
    <w:rsid w:val="00F03542"/>
    <w:rsid w:val="00F06323"/>
    <w:rsid w:val="00F066BC"/>
    <w:rsid w:val="00F06E4D"/>
    <w:rsid w:val="00F06FC0"/>
    <w:rsid w:val="00F07951"/>
    <w:rsid w:val="00F1006F"/>
    <w:rsid w:val="00F114B2"/>
    <w:rsid w:val="00F135AF"/>
    <w:rsid w:val="00F14698"/>
    <w:rsid w:val="00F14C6E"/>
    <w:rsid w:val="00F1581C"/>
    <w:rsid w:val="00F159CD"/>
    <w:rsid w:val="00F15B1B"/>
    <w:rsid w:val="00F15D9D"/>
    <w:rsid w:val="00F160F6"/>
    <w:rsid w:val="00F16F81"/>
    <w:rsid w:val="00F17576"/>
    <w:rsid w:val="00F200D5"/>
    <w:rsid w:val="00F204FC"/>
    <w:rsid w:val="00F2057E"/>
    <w:rsid w:val="00F20F66"/>
    <w:rsid w:val="00F216D1"/>
    <w:rsid w:val="00F216D7"/>
    <w:rsid w:val="00F2320A"/>
    <w:rsid w:val="00F2336F"/>
    <w:rsid w:val="00F236CF"/>
    <w:rsid w:val="00F239D2"/>
    <w:rsid w:val="00F24517"/>
    <w:rsid w:val="00F248DD"/>
    <w:rsid w:val="00F27A09"/>
    <w:rsid w:val="00F31CAB"/>
    <w:rsid w:val="00F31FED"/>
    <w:rsid w:val="00F32411"/>
    <w:rsid w:val="00F34AFB"/>
    <w:rsid w:val="00F34CE9"/>
    <w:rsid w:val="00F36809"/>
    <w:rsid w:val="00F369A3"/>
    <w:rsid w:val="00F369F8"/>
    <w:rsid w:val="00F36FD8"/>
    <w:rsid w:val="00F376EB"/>
    <w:rsid w:val="00F408A8"/>
    <w:rsid w:val="00F41E25"/>
    <w:rsid w:val="00F4333D"/>
    <w:rsid w:val="00F446F7"/>
    <w:rsid w:val="00F44EAA"/>
    <w:rsid w:val="00F45D8F"/>
    <w:rsid w:val="00F46A34"/>
    <w:rsid w:val="00F46CA4"/>
    <w:rsid w:val="00F46CC1"/>
    <w:rsid w:val="00F47036"/>
    <w:rsid w:val="00F47DC2"/>
    <w:rsid w:val="00F52A7C"/>
    <w:rsid w:val="00F52A8E"/>
    <w:rsid w:val="00F53425"/>
    <w:rsid w:val="00F5367E"/>
    <w:rsid w:val="00F54D1B"/>
    <w:rsid w:val="00F55166"/>
    <w:rsid w:val="00F55691"/>
    <w:rsid w:val="00F55D3D"/>
    <w:rsid w:val="00F573B3"/>
    <w:rsid w:val="00F57B86"/>
    <w:rsid w:val="00F623FE"/>
    <w:rsid w:val="00F62B2E"/>
    <w:rsid w:val="00F63296"/>
    <w:rsid w:val="00F63843"/>
    <w:rsid w:val="00F643A7"/>
    <w:rsid w:val="00F6512E"/>
    <w:rsid w:val="00F66142"/>
    <w:rsid w:val="00F661E9"/>
    <w:rsid w:val="00F662BF"/>
    <w:rsid w:val="00F669E6"/>
    <w:rsid w:val="00F66F13"/>
    <w:rsid w:val="00F67CC6"/>
    <w:rsid w:val="00F67CF0"/>
    <w:rsid w:val="00F67D2A"/>
    <w:rsid w:val="00F70F99"/>
    <w:rsid w:val="00F71FC9"/>
    <w:rsid w:val="00F72657"/>
    <w:rsid w:val="00F72AE5"/>
    <w:rsid w:val="00F72DB9"/>
    <w:rsid w:val="00F72E71"/>
    <w:rsid w:val="00F7322C"/>
    <w:rsid w:val="00F7454F"/>
    <w:rsid w:val="00F7495E"/>
    <w:rsid w:val="00F75821"/>
    <w:rsid w:val="00F76C8C"/>
    <w:rsid w:val="00F77A1C"/>
    <w:rsid w:val="00F77BA3"/>
    <w:rsid w:val="00F805AB"/>
    <w:rsid w:val="00F81A09"/>
    <w:rsid w:val="00F81AFE"/>
    <w:rsid w:val="00F82163"/>
    <w:rsid w:val="00F827A8"/>
    <w:rsid w:val="00F827AA"/>
    <w:rsid w:val="00F84153"/>
    <w:rsid w:val="00F84704"/>
    <w:rsid w:val="00F84E54"/>
    <w:rsid w:val="00F86BAF"/>
    <w:rsid w:val="00F86E08"/>
    <w:rsid w:val="00F86F3F"/>
    <w:rsid w:val="00F87559"/>
    <w:rsid w:val="00F87A84"/>
    <w:rsid w:val="00F903D2"/>
    <w:rsid w:val="00F91831"/>
    <w:rsid w:val="00F91D08"/>
    <w:rsid w:val="00F93A7E"/>
    <w:rsid w:val="00F94287"/>
    <w:rsid w:val="00F948EF"/>
    <w:rsid w:val="00F964F4"/>
    <w:rsid w:val="00F96B04"/>
    <w:rsid w:val="00F96B60"/>
    <w:rsid w:val="00FA03AE"/>
    <w:rsid w:val="00FA0B0F"/>
    <w:rsid w:val="00FA16B4"/>
    <w:rsid w:val="00FA17BC"/>
    <w:rsid w:val="00FA18A2"/>
    <w:rsid w:val="00FA1918"/>
    <w:rsid w:val="00FA325E"/>
    <w:rsid w:val="00FA403B"/>
    <w:rsid w:val="00FA45D2"/>
    <w:rsid w:val="00FA49CF"/>
    <w:rsid w:val="00FA51A3"/>
    <w:rsid w:val="00FA5217"/>
    <w:rsid w:val="00FA5A97"/>
    <w:rsid w:val="00FA5EC5"/>
    <w:rsid w:val="00FA62E5"/>
    <w:rsid w:val="00FA6CB2"/>
    <w:rsid w:val="00FA77D3"/>
    <w:rsid w:val="00FB1109"/>
    <w:rsid w:val="00FB129A"/>
    <w:rsid w:val="00FB1580"/>
    <w:rsid w:val="00FB194A"/>
    <w:rsid w:val="00FB1A3C"/>
    <w:rsid w:val="00FB3837"/>
    <w:rsid w:val="00FB61A5"/>
    <w:rsid w:val="00FB6592"/>
    <w:rsid w:val="00FB704B"/>
    <w:rsid w:val="00FB7BF3"/>
    <w:rsid w:val="00FC0DF9"/>
    <w:rsid w:val="00FC10F3"/>
    <w:rsid w:val="00FC13F7"/>
    <w:rsid w:val="00FC1799"/>
    <w:rsid w:val="00FC1B0D"/>
    <w:rsid w:val="00FC274A"/>
    <w:rsid w:val="00FC2C12"/>
    <w:rsid w:val="00FC2F94"/>
    <w:rsid w:val="00FC3239"/>
    <w:rsid w:val="00FC3722"/>
    <w:rsid w:val="00FC4BB6"/>
    <w:rsid w:val="00FC534E"/>
    <w:rsid w:val="00FD1C7A"/>
    <w:rsid w:val="00FD20DE"/>
    <w:rsid w:val="00FD2AB2"/>
    <w:rsid w:val="00FD2DF7"/>
    <w:rsid w:val="00FD30EF"/>
    <w:rsid w:val="00FD3563"/>
    <w:rsid w:val="00FD377A"/>
    <w:rsid w:val="00FD40E1"/>
    <w:rsid w:val="00FD4CC3"/>
    <w:rsid w:val="00FD53CC"/>
    <w:rsid w:val="00FD5E72"/>
    <w:rsid w:val="00FD6214"/>
    <w:rsid w:val="00FD7647"/>
    <w:rsid w:val="00FE0926"/>
    <w:rsid w:val="00FE0DFA"/>
    <w:rsid w:val="00FE120C"/>
    <w:rsid w:val="00FE1B72"/>
    <w:rsid w:val="00FE1E08"/>
    <w:rsid w:val="00FE25B1"/>
    <w:rsid w:val="00FE26C6"/>
    <w:rsid w:val="00FE3731"/>
    <w:rsid w:val="00FE3975"/>
    <w:rsid w:val="00FE415D"/>
    <w:rsid w:val="00FE4BE9"/>
    <w:rsid w:val="00FE5680"/>
    <w:rsid w:val="00FE6BC0"/>
    <w:rsid w:val="00FE759A"/>
    <w:rsid w:val="00FF0D22"/>
    <w:rsid w:val="00FF2BD5"/>
    <w:rsid w:val="00FF2FD3"/>
    <w:rsid w:val="00FF32AD"/>
    <w:rsid w:val="00FF3A33"/>
    <w:rsid w:val="00FF419E"/>
    <w:rsid w:val="00FF45A6"/>
    <w:rsid w:val="00FF461A"/>
    <w:rsid w:val="00FF4D23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6CD294"/>
  <w15:docId w15:val="{80804348-3F35-4F15-8AD5-CC9988F3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4286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y"/>
    <w:next w:val="Normlny"/>
    <w:qFormat/>
    <w:rsid w:val="006325A0"/>
    <w:pPr>
      <w:keepNext/>
      <w:spacing w:before="240" w:after="60"/>
      <w:jc w:val="center"/>
      <w:outlineLvl w:val="0"/>
    </w:pPr>
    <w:rPr>
      <w:rFonts w:ascii="Arial" w:hAnsi="Arial" w:cs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567"/>
      </w:tabs>
      <w:outlineLvl w:val="1"/>
    </w:pPr>
    <w:rPr>
      <w:rFonts w:ascii="Arial" w:hAnsi="Arial"/>
      <w:b/>
      <w:sz w:val="20"/>
      <w:lang w:val="sk-SK"/>
    </w:rPr>
  </w:style>
  <w:style w:type="paragraph" w:styleId="Nadpis3">
    <w:name w:val="heading 3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709"/>
      </w:tabs>
      <w:spacing w:before="40"/>
      <w:ind w:left="0" w:right="-57" w:firstLine="0"/>
      <w:outlineLvl w:val="2"/>
    </w:pPr>
    <w:rPr>
      <w:rFonts w:ascii="Arial" w:hAnsi="Arial"/>
      <w:b/>
      <w:sz w:val="20"/>
      <w:lang w:val="sk-SK"/>
    </w:rPr>
  </w:style>
  <w:style w:type="paragraph" w:styleId="Nadpis4">
    <w:name w:val="heading 4"/>
    <w:basedOn w:val="Normlny"/>
    <w:next w:val="Normlny"/>
    <w:qFormat/>
    <w:rsid w:val="00C04286"/>
    <w:pPr>
      <w:keepNext/>
      <w:tabs>
        <w:tab w:val="clear" w:pos="680"/>
        <w:tab w:val="left" w:pos="851"/>
      </w:tabs>
      <w:jc w:val="left"/>
      <w:outlineLvl w:val="3"/>
    </w:pPr>
    <w:rPr>
      <w:rFonts w:ascii="Arial" w:hAnsi="Arial"/>
      <w:b/>
      <w:sz w:val="20"/>
      <w:lang w:val="sk-SK"/>
    </w:rPr>
  </w:style>
  <w:style w:type="paragraph" w:styleId="Nadpis5">
    <w:name w:val="heading 5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right="-57"/>
      <w:jc w:val="left"/>
      <w:outlineLvl w:val="4"/>
    </w:pPr>
    <w:rPr>
      <w:rFonts w:ascii="Arial" w:hAnsi="Arial"/>
      <w:b/>
      <w:sz w:val="18"/>
      <w:lang w:val="sk-SK"/>
    </w:rPr>
  </w:style>
  <w:style w:type="paragraph" w:styleId="Nadpis6">
    <w:name w:val="heading 6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jc w:val="left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outlineLvl w:val="6"/>
    </w:pPr>
    <w:rPr>
      <w:rFonts w:ascii="Arial" w:hAnsi="Arial"/>
      <w:b/>
      <w:sz w:val="18"/>
      <w:lang w:val="en-US"/>
    </w:rPr>
  </w:style>
  <w:style w:type="paragraph" w:styleId="Nadpis8">
    <w:name w:val="heading 8"/>
    <w:basedOn w:val="Normlny"/>
    <w:next w:val="Normlny"/>
    <w:qFormat/>
    <w:rsid w:val="00C04286"/>
    <w:pPr>
      <w:keepNext/>
      <w:tabs>
        <w:tab w:val="clear" w:pos="680"/>
        <w:tab w:val="left" w:pos="851"/>
      </w:tabs>
      <w:ind w:left="0" w:firstLine="0"/>
      <w:outlineLvl w:val="7"/>
    </w:pPr>
    <w:rPr>
      <w:rFonts w:ascii="Arial" w:hAnsi="Arial" w:cs="Arial"/>
      <w:b/>
      <w:sz w:val="20"/>
    </w:rPr>
  </w:style>
  <w:style w:type="paragraph" w:styleId="Nadpis9">
    <w:name w:val="heading 9"/>
    <w:basedOn w:val="Normlny"/>
    <w:next w:val="Normlny"/>
    <w:qFormat/>
    <w:rsid w:val="00C04286"/>
    <w:pPr>
      <w:keepNext/>
      <w:tabs>
        <w:tab w:val="left" w:pos="851"/>
      </w:tabs>
      <w:outlineLvl w:val="8"/>
    </w:pPr>
    <w:rPr>
      <w:rFonts w:ascii="Arial" w:hAnsi="Arial" w:cs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semiHidden/>
    <w:rsid w:val="00C04286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semiHidden/>
    <w:rsid w:val="00C04286"/>
    <w:rPr>
      <w:rFonts w:ascii="Arial" w:hAnsi="Arial" w:cs="Arial"/>
      <w:sz w:val="18"/>
    </w:rPr>
  </w:style>
  <w:style w:type="paragraph" w:styleId="Hlavika">
    <w:name w:val="header"/>
    <w:basedOn w:val="Normlny"/>
    <w:semiHidden/>
    <w:rsid w:val="00C04286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rsid w:val="00C04286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character" w:styleId="Odkaznakomentr">
    <w:name w:val="annotation reference"/>
    <w:basedOn w:val="Predvolenpsmoodseku"/>
    <w:semiHidden/>
    <w:rsid w:val="00C04286"/>
    <w:rPr>
      <w:sz w:val="16"/>
    </w:rPr>
  </w:style>
  <w:style w:type="paragraph" w:styleId="Zkladntext">
    <w:name w:val="Body Text"/>
    <w:basedOn w:val="Normlny"/>
    <w:semiHidden/>
    <w:rsid w:val="00C04286"/>
    <w:pPr>
      <w:spacing w:after="120"/>
      <w:ind w:left="0"/>
    </w:pPr>
  </w:style>
  <w:style w:type="paragraph" w:styleId="Textkomentra">
    <w:name w:val="annotation text"/>
    <w:basedOn w:val="Normlny"/>
    <w:semiHidden/>
    <w:rsid w:val="00C04286"/>
    <w:rPr>
      <w:sz w:val="20"/>
    </w:rPr>
  </w:style>
  <w:style w:type="paragraph" w:styleId="Popis">
    <w:name w:val="caption"/>
    <w:basedOn w:val="Normlny"/>
    <w:next w:val="Normlny"/>
    <w:qFormat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851"/>
      </w:tabs>
      <w:ind w:left="0" w:firstLine="0"/>
      <w:jc w:val="left"/>
    </w:pPr>
    <w:rPr>
      <w:rFonts w:ascii="Arial" w:hAnsi="Arial"/>
      <w:b/>
      <w:sz w:val="20"/>
      <w:szCs w:val="24"/>
      <w:lang w:val="sk-SK"/>
    </w:rPr>
  </w:style>
  <w:style w:type="character" w:customStyle="1" w:styleId="shorttext1">
    <w:name w:val="short_text1"/>
    <w:basedOn w:val="Predvolenpsmoodseku"/>
    <w:rsid w:val="002F004F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7C51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7C51"/>
    <w:rPr>
      <w:rFonts w:ascii="Tahoma" w:hAnsi="Tahoma" w:cs="Tahoma"/>
      <w:sz w:val="16"/>
      <w:szCs w:val="16"/>
      <w:lang w:val="en-GB"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B36E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B36E7"/>
    <w:rPr>
      <w:rFonts w:ascii="NimbusSans" w:hAnsi="NimbusSans"/>
      <w:sz w:val="16"/>
      <w:lang w:val="en-GB" w:eastAsia="cs-CZ"/>
    </w:rPr>
  </w:style>
  <w:style w:type="paragraph" w:styleId="Podtitul">
    <w:name w:val="Subtitle"/>
    <w:basedOn w:val="Normlny"/>
    <w:link w:val="PodtitulChar"/>
    <w:qFormat/>
    <w:rsid w:val="009B36E7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</w:pPr>
    <w:rPr>
      <w:rFonts w:ascii="Times New Roman" w:hAnsi="Times New Roman"/>
      <w:b/>
      <w:bCs/>
      <w:iCs/>
      <w:sz w:val="28"/>
      <w:szCs w:val="24"/>
      <w:lang w:val="sk-SK"/>
    </w:rPr>
  </w:style>
  <w:style w:type="character" w:customStyle="1" w:styleId="PodtitulChar">
    <w:name w:val="Podtitul Char"/>
    <w:basedOn w:val="Predvolenpsmoodseku"/>
    <w:link w:val="Podtitul"/>
    <w:rsid w:val="009B36E7"/>
    <w:rPr>
      <w:b/>
      <w:bCs/>
      <w:iCs/>
      <w:sz w:val="28"/>
      <w:szCs w:val="24"/>
      <w:lang w:eastAsia="cs-CZ"/>
    </w:rPr>
  </w:style>
  <w:style w:type="paragraph" w:customStyle="1" w:styleId="Normlny1">
    <w:name w:val="Normálny1"/>
    <w:rsid w:val="009B36E7"/>
    <w:pPr>
      <w:widowControl w:val="0"/>
    </w:pPr>
    <w:rPr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D5105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D5105"/>
    <w:rPr>
      <w:rFonts w:ascii="NimbusSans" w:hAnsi="NimbusSans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DD5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STATI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D393E-AA55-425B-8AB3-28C75DB3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</Template>
  <TotalTime>10</TotalTime>
  <Pages>8</Pages>
  <Words>3502</Words>
  <Characters>19965</Characters>
  <Application>Microsoft Office Word</Application>
  <DocSecurity>0</DocSecurity>
  <Lines>166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KAP_1_45-60</vt:lpstr>
      <vt:lpstr>KAP_1_11-65</vt:lpstr>
    </vt:vector>
  </TitlesOfParts>
  <Company>SUSR</Company>
  <LinksUpToDate>false</LinksUpToDate>
  <CharactersWithSpaces>23421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KAP_1_45-60</dc:title>
  <dc:creator>Heckova</dc:creator>
  <cp:lastModifiedBy>Hečková Martina</cp:lastModifiedBy>
  <cp:revision>9</cp:revision>
  <cp:lastPrinted>2019-11-28T11:51:00Z</cp:lastPrinted>
  <dcterms:created xsi:type="dcterms:W3CDTF">2021-11-22T06:28:00Z</dcterms:created>
  <dcterms:modified xsi:type="dcterms:W3CDTF">2023-11-21T11:02:00Z</dcterms:modified>
</cp:coreProperties>
</file>